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352ACD">
      <w:pPr>
        <w:rPr>
          <w:rFonts w:hint="eastAsia" w:ascii="宋体" w:hAnsi="宋体" w:eastAsia="宋体" w:cs="宋体"/>
        </w:rPr>
      </w:pPr>
      <w:r>
        <w:rPr>
          <w:rFonts w:hint="eastAsia" w:ascii="宋体" w:hAnsi="宋体" w:eastAsia="宋体" w:cs="宋体"/>
        </w:rPr>
        <w:pict>
          <v:shape id="_x0000_i1025" o:spt="75" alt="图片11" type="#_x0000_t75" style="height:56.6pt;width:403.7pt;" filled="f" o:preferrelative="t" stroked="f" coordsize="21600,21600">
            <v:path/>
            <v:fill on="f" focussize="0,0"/>
            <v:stroke on="f"/>
            <v:imagedata r:id="rId5" o:title="图片11"/>
            <o:lock v:ext="edit" aspectratio="t"/>
            <w10:wrap type="none"/>
            <w10:anchorlock/>
          </v:shape>
        </w:pict>
      </w:r>
    </w:p>
    <w:p w14:paraId="04B86A40">
      <w:pPr>
        <w:jc w:val="center"/>
        <w:rPr>
          <w:rFonts w:hint="eastAsia" w:ascii="微软雅黑" w:hAnsi="微软雅黑" w:eastAsia="微软雅黑" w:cs="微软雅黑"/>
          <w:b w:val="0"/>
          <w:bCs/>
          <w:sz w:val="36"/>
          <w:szCs w:val="36"/>
        </w:rPr>
      </w:pPr>
    </w:p>
    <w:p w14:paraId="01BF3F7F">
      <w:pPr>
        <w:jc w:val="center"/>
        <w:rPr>
          <w:rFonts w:hint="eastAsia" w:ascii="微软雅黑" w:hAnsi="微软雅黑" w:eastAsia="微软雅黑" w:cs="微软雅黑"/>
          <w:b w:val="0"/>
          <w:bCs/>
          <w:sz w:val="36"/>
          <w:szCs w:val="36"/>
        </w:rPr>
      </w:pPr>
    </w:p>
    <w:p w14:paraId="72080B50">
      <w:pPr>
        <w:jc w:val="center"/>
        <w:rPr>
          <w:rFonts w:hint="eastAsia" w:ascii="微软雅黑" w:hAnsi="微软雅黑" w:eastAsia="微软雅黑" w:cs="微软雅黑"/>
          <w:b w:val="0"/>
          <w:bCs/>
          <w:sz w:val="36"/>
          <w:szCs w:val="36"/>
        </w:rPr>
      </w:pPr>
    </w:p>
    <w:p w14:paraId="2BBCCF46">
      <w:pPr>
        <w:jc w:val="center"/>
        <w:rPr>
          <w:rFonts w:hint="eastAsia" w:ascii="方正小标宋简体" w:hAnsi="方正小标宋简体" w:eastAsia="方正小标宋简体" w:cs="方正小标宋简体"/>
          <w:b w:val="0"/>
          <w:bCs/>
          <w:sz w:val="144"/>
          <w:szCs w:val="144"/>
          <w:lang w:val="en-US" w:eastAsia="zh-CN"/>
        </w:rPr>
      </w:pPr>
      <w:r>
        <w:rPr>
          <w:rFonts w:hint="eastAsia" w:ascii="方正小标宋_GBK" w:eastAsia="方正小标宋_GBK"/>
          <w:sz w:val="144"/>
          <w:szCs w:val="144"/>
          <w:lang w:val="en-US" w:eastAsia="zh-CN"/>
        </w:rPr>
        <w:t>课程教案</w:t>
      </w:r>
    </w:p>
    <w:p w14:paraId="2856108C">
      <w:pPr>
        <w:jc w:val="center"/>
        <w:rPr>
          <w:rFonts w:hint="eastAsia" w:ascii="微软雅黑" w:hAnsi="微软雅黑" w:eastAsia="微软雅黑" w:cs="微软雅黑"/>
          <w:sz w:val="36"/>
          <w:szCs w:val="36"/>
          <w:lang w:val="en-US" w:eastAsia="zh-CN"/>
        </w:rPr>
      </w:pPr>
    </w:p>
    <w:p w14:paraId="0C70CDB5">
      <w:pPr>
        <w:jc w:val="center"/>
        <w:rPr>
          <w:rFonts w:hint="eastAsia" w:ascii="微软雅黑" w:hAnsi="微软雅黑" w:eastAsia="微软雅黑" w:cs="微软雅黑"/>
          <w:sz w:val="36"/>
          <w:szCs w:val="36"/>
          <w:lang w:val="en-US" w:eastAsia="zh-CN"/>
        </w:rPr>
      </w:pPr>
    </w:p>
    <w:p w14:paraId="22C9EFB7">
      <w:pPr>
        <w:jc w:val="center"/>
        <w:rPr>
          <w:rFonts w:hint="eastAsia" w:ascii="微软雅黑" w:hAnsi="微软雅黑" w:eastAsia="微软雅黑" w:cs="微软雅黑"/>
          <w:sz w:val="36"/>
          <w:szCs w:val="36"/>
          <w:lang w:val="en-US" w:eastAsia="zh-CN"/>
        </w:rPr>
      </w:pPr>
    </w:p>
    <w:p w14:paraId="433743FF">
      <w:pPr>
        <w:jc w:val="center"/>
        <w:rPr>
          <w:rFonts w:hint="eastAsia" w:ascii="微软雅黑" w:hAnsi="微软雅黑" w:eastAsia="微软雅黑" w:cs="微软雅黑"/>
          <w:sz w:val="36"/>
          <w:szCs w:val="36"/>
          <w:lang w:val="en-US" w:eastAsia="zh-CN"/>
        </w:rPr>
      </w:pPr>
    </w:p>
    <w:tbl>
      <w:tblPr>
        <w:tblStyle w:val="9"/>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634"/>
        <w:gridCol w:w="4677"/>
      </w:tblGrid>
      <w:tr w14:paraId="5A521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634" w:type="dxa"/>
            <w:tcBorders>
              <w:tl2br w:val="nil"/>
              <w:tr2bl w:val="nil"/>
            </w:tcBorders>
            <w:noWrap w:val="0"/>
            <w:vAlign w:val="bottom"/>
          </w:tcPr>
          <w:p w14:paraId="0D5A6DF5">
            <w:pPr>
              <w:keepNext w:val="0"/>
              <w:keepLines w:val="0"/>
              <w:pageBreakBefore w:val="0"/>
              <w:widowControl w:val="0"/>
              <w:kinsoku/>
              <w:wordWrap/>
              <w:overflowPunct/>
              <w:topLinePunct w:val="0"/>
              <w:autoSpaceDE/>
              <w:autoSpaceDN/>
              <w:bidi w:val="0"/>
              <w:adjustRightInd/>
              <w:snapToGrid/>
              <w:spacing w:line="800" w:lineRule="exact"/>
              <w:jc w:val="distribute"/>
              <w:textAlignment w:val="auto"/>
              <w:rPr>
                <w:rFonts w:hint="default" w:ascii="微软雅黑" w:hAnsi="微软雅黑" w:eastAsia="微软雅黑" w:cs="微软雅黑"/>
                <w:sz w:val="28"/>
                <w:szCs w:val="28"/>
                <w:vertAlign w:val="baseline"/>
                <w:lang w:val="en-US" w:eastAsia="zh-CN"/>
              </w:rPr>
            </w:pPr>
            <w:r>
              <w:rPr>
                <w:rFonts w:hint="eastAsia" w:ascii="微软雅黑" w:hAnsi="微软雅黑" w:eastAsia="微软雅黑" w:cs="微软雅黑"/>
                <w:b w:val="0"/>
                <w:bCs w:val="0"/>
                <w:sz w:val="28"/>
                <w:szCs w:val="28"/>
                <w:vertAlign w:val="baseline"/>
                <w:lang w:val="en-US" w:eastAsia="zh-CN"/>
              </w:rPr>
              <w:t>所属二级学院（部）：</w:t>
            </w:r>
          </w:p>
        </w:tc>
        <w:tc>
          <w:tcPr>
            <w:tcW w:w="4677" w:type="dxa"/>
            <w:tcBorders>
              <w:bottom w:val="single" w:color="auto" w:sz="4" w:space="0"/>
              <w:tl2br w:val="nil"/>
              <w:tr2bl w:val="nil"/>
            </w:tcBorders>
            <w:noWrap w:val="0"/>
            <w:vAlign w:val="bottom"/>
          </w:tcPr>
          <w:p w14:paraId="44E88388">
            <w:pPr>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default" w:ascii="微软雅黑" w:hAnsi="微软雅黑" w:eastAsia="微软雅黑" w:cs="微软雅黑"/>
                <w:color w:val="auto"/>
                <w:sz w:val="28"/>
                <w:szCs w:val="28"/>
                <w:vertAlign w:val="baseline"/>
                <w:lang w:val="en-US" w:eastAsia="zh-CN"/>
              </w:rPr>
            </w:pPr>
            <w:r>
              <w:rPr>
                <w:rFonts w:hint="eastAsia" w:ascii="微软雅黑" w:hAnsi="微软雅黑" w:eastAsia="微软雅黑" w:cs="微软雅黑"/>
                <w:color w:val="auto"/>
                <w:sz w:val="28"/>
                <w:szCs w:val="28"/>
                <w:vertAlign w:val="baseline"/>
                <w:lang w:val="en-US" w:eastAsia="zh-CN"/>
              </w:rPr>
              <w:t>公共课部</w:t>
            </w:r>
          </w:p>
        </w:tc>
      </w:tr>
      <w:tr w14:paraId="49AED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634" w:type="dxa"/>
            <w:tcBorders>
              <w:tl2br w:val="nil"/>
              <w:tr2bl w:val="nil"/>
            </w:tcBorders>
            <w:noWrap w:val="0"/>
            <w:vAlign w:val="bottom"/>
          </w:tcPr>
          <w:p w14:paraId="0D2BA7C7">
            <w:pPr>
              <w:keepNext w:val="0"/>
              <w:keepLines w:val="0"/>
              <w:pageBreakBefore w:val="0"/>
              <w:widowControl w:val="0"/>
              <w:kinsoku/>
              <w:wordWrap/>
              <w:overflowPunct/>
              <w:topLinePunct w:val="0"/>
              <w:autoSpaceDE/>
              <w:autoSpaceDN/>
              <w:bidi w:val="0"/>
              <w:adjustRightInd/>
              <w:snapToGrid/>
              <w:spacing w:line="800" w:lineRule="exact"/>
              <w:jc w:val="distribute"/>
              <w:textAlignment w:val="auto"/>
              <w:rPr>
                <w:rFonts w:hint="eastAsia" w:ascii="微软雅黑" w:hAnsi="微软雅黑" w:eastAsia="微软雅黑" w:cs="微软雅黑"/>
                <w:sz w:val="28"/>
                <w:szCs w:val="28"/>
                <w:vertAlign w:val="baseline"/>
                <w:lang w:val="en-US" w:eastAsia="zh-CN"/>
              </w:rPr>
            </w:pPr>
            <w:r>
              <w:rPr>
                <w:rFonts w:hint="eastAsia" w:ascii="微软雅黑" w:hAnsi="微软雅黑" w:eastAsia="微软雅黑" w:cs="微软雅黑"/>
                <w:sz w:val="28"/>
                <w:szCs w:val="28"/>
                <w:vertAlign w:val="baseline"/>
                <w:lang w:val="en-US" w:eastAsia="zh-CN"/>
              </w:rPr>
              <w:t>课程名称：</w:t>
            </w:r>
          </w:p>
        </w:tc>
        <w:tc>
          <w:tcPr>
            <w:tcW w:w="4677" w:type="dxa"/>
            <w:tcBorders>
              <w:top w:val="single" w:color="auto" w:sz="4" w:space="0"/>
              <w:bottom w:val="single" w:color="auto" w:sz="4" w:space="0"/>
              <w:tl2br w:val="nil"/>
              <w:tr2bl w:val="nil"/>
            </w:tcBorders>
            <w:noWrap w:val="0"/>
            <w:vAlign w:val="bottom"/>
          </w:tcPr>
          <w:p w14:paraId="6D6C6D5D">
            <w:pPr>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default" w:ascii="微软雅黑" w:hAnsi="微软雅黑" w:eastAsia="微软雅黑" w:cs="微软雅黑"/>
                <w:color w:val="auto"/>
                <w:sz w:val="28"/>
                <w:szCs w:val="28"/>
                <w:vertAlign w:val="baseline"/>
                <w:lang w:val="en-US" w:eastAsia="zh-CN"/>
              </w:rPr>
            </w:pPr>
            <w:r>
              <w:rPr>
                <w:rFonts w:hint="eastAsia" w:ascii="微软雅黑" w:hAnsi="微软雅黑" w:eastAsia="微软雅黑" w:cs="微软雅黑"/>
                <w:color w:val="auto"/>
                <w:sz w:val="28"/>
                <w:szCs w:val="28"/>
                <w:vertAlign w:val="baseline"/>
                <w:lang w:val="en-US" w:eastAsia="zh-CN"/>
              </w:rPr>
              <w:t>卓越之路：大学生综合素养提升教程</w:t>
            </w:r>
          </w:p>
        </w:tc>
      </w:tr>
      <w:tr w14:paraId="752AD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634" w:type="dxa"/>
            <w:tcBorders>
              <w:tl2br w:val="nil"/>
              <w:tr2bl w:val="nil"/>
            </w:tcBorders>
            <w:noWrap w:val="0"/>
            <w:vAlign w:val="bottom"/>
          </w:tcPr>
          <w:p w14:paraId="35648584">
            <w:pPr>
              <w:keepNext w:val="0"/>
              <w:keepLines w:val="0"/>
              <w:pageBreakBefore w:val="0"/>
              <w:widowControl w:val="0"/>
              <w:kinsoku/>
              <w:wordWrap/>
              <w:overflowPunct/>
              <w:topLinePunct w:val="0"/>
              <w:autoSpaceDE/>
              <w:autoSpaceDN/>
              <w:bidi w:val="0"/>
              <w:adjustRightInd/>
              <w:snapToGrid/>
              <w:spacing w:line="800" w:lineRule="exact"/>
              <w:jc w:val="distribute"/>
              <w:textAlignment w:val="auto"/>
              <w:rPr>
                <w:rFonts w:hint="default" w:ascii="微软雅黑" w:hAnsi="微软雅黑" w:eastAsia="微软雅黑" w:cs="微软雅黑"/>
                <w:sz w:val="28"/>
                <w:szCs w:val="28"/>
                <w:vertAlign w:val="baseline"/>
                <w:lang w:val="en-US" w:eastAsia="zh-CN"/>
              </w:rPr>
            </w:pPr>
            <w:r>
              <w:rPr>
                <w:rFonts w:hint="eastAsia" w:ascii="微软雅黑" w:hAnsi="微软雅黑" w:eastAsia="微软雅黑" w:cs="微软雅黑"/>
                <w:sz w:val="28"/>
                <w:szCs w:val="28"/>
                <w:vertAlign w:val="baseline"/>
                <w:lang w:val="en-US" w:eastAsia="zh-CN"/>
              </w:rPr>
              <w:t>授课教师：</w:t>
            </w:r>
          </w:p>
        </w:tc>
        <w:tc>
          <w:tcPr>
            <w:tcW w:w="4677" w:type="dxa"/>
            <w:tcBorders>
              <w:top w:val="single" w:color="auto" w:sz="4" w:space="0"/>
              <w:bottom w:val="single" w:color="auto" w:sz="4" w:space="0"/>
              <w:tl2br w:val="nil"/>
              <w:tr2bl w:val="nil"/>
            </w:tcBorders>
            <w:noWrap w:val="0"/>
            <w:vAlign w:val="bottom"/>
          </w:tcPr>
          <w:p w14:paraId="37D61E4E">
            <w:pPr>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default" w:ascii="微软雅黑" w:hAnsi="微软雅黑" w:eastAsia="微软雅黑" w:cs="微软雅黑"/>
                <w:color w:val="auto"/>
                <w:sz w:val="28"/>
                <w:szCs w:val="28"/>
                <w:vertAlign w:val="baseline"/>
                <w:lang w:val="en-US" w:eastAsia="zh-CN"/>
              </w:rPr>
            </w:pPr>
            <w:r>
              <w:rPr>
                <w:rFonts w:hint="eastAsia" w:ascii="微软雅黑" w:hAnsi="微软雅黑" w:eastAsia="微软雅黑" w:cs="微软雅黑"/>
                <w:color w:val="auto"/>
                <w:sz w:val="28"/>
                <w:szCs w:val="28"/>
                <w:vertAlign w:val="baseline"/>
                <w:lang w:val="en-US" w:eastAsia="zh-CN"/>
              </w:rPr>
              <w:t>xx</w:t>
            </w:r>
          </w:p>
        </w:tc>
      </w:tr>
      <w:tr w14:paraId="53507C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634" w:type="dxa"/>
            <w:tcBorders>
              <w:tl2br w:val="nil"/>
              <w:tr2bl w:val="nil"/>
            </w:tcBorders>
            <w:noWrap w:val="0"/>
            <w:vAlign w:val="bottom"/>
          </w:tcPr>
          <w:p w14:paraId="048411C7">
            <w:pPr>
              <w:keepNext w:val="0"/>
              <w:keepLines w:val="0"/>
              <w:pageBreakBefore w:val="0"/>
              <w:widowControl w:val="0"/>
              <w:kinsoku/>
              <w:wordWrap/>
              <w:overflowPunct/>
              <w:topLinePunct w:val="0"/>
              <w:autoSpaceDE/>
              <w:autoSpaceDN/>
              <w:bidi w:val="0"/>
              <w:adjustRightInd/>
              <w:snapToGrid/>
              <w:spacing w:line="800" w:lineRule="exact"/>
              <w:jc w:val="distribute"/>
              <w:textAlignment w:val="auto"/>
              <w:rPr>
                <w:rFonts w:hint="eastAsia" w:ascii="微软雅黑" w:hAnsi="微软雅黑" w:eastAsia="微软雅黑" w:cs="微软雅黑"/>
                <w:sz w:val="28"/>
                <w:szCs w:val="28"/>
                <w:vertAlign w:val="baseline"/>
                <w:lang w:val="en-US" w:eastAsia="zh-CN"/>
              </w:rPr>
            </w:pPr>
            <w:r>
              <w:rPr>
                <w:rFonts w:hint="eastAsia" w:ascii="微软雅黑" w:hAnsi="微软雅黑" w:eastAsia="微软雅黑" w:cs="微软雅黑"/>
                <w:sz w:val="28"/>
                <w:szCs w:val="28"/>
                <w:vertAlign w:val="baseline"/>
                <w:lang w:val="en-US" w:eastAsia="zh-CN"/>
              </w:rPr>
              <w:t>适用专业：</w:t>
            </w:r>
          </w:p>
        </w:tc>
        <w:tc>
          <w:tcPr>
            <w:tcW w:w="4677" w:type="dxa"/>
            <w:tcBorders>
              <w:top w:val="single" w:color="auto" w:sz="4" w:space="0"/>
              <w:bottom w:val="single" w:color="auto" w:sz="4" w:space="0"/>
              <w:tl2br w:val="nil"/>
              <w:tr2bl w:val="nil"/>
            </w:tcBorders>
            <w:noWrap w:val="0"/>
            <w:vAlign w:val="bottom"/>
          </w:tcPr>
          <w:p w14:paraId="2E48E9E4">
            <w:pPr>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default" w:ascii="微软雅黑" w:hAnsi="微软雅黑" w:eastAsia="微软雅黑" w:cs="微软雅黑"/>
                <w:color w:val="auto"/>
                <w:sz w:val="28"/>
                <w:szCs w:val="28"/>
                <w:vertAlign w:val="baseline"/>
                <w:lang w:val="en-US" w:eastAsia="zh-CN"/>
              </w:rPr>
            </w:pPr>
            <w:r>
              <w:rPr>
                <w:rFonts w:hint="eastAsia" w:ascii="微软雅黑" w:hAnsi="微软雅黑" w:eastAsia="微软雅黑" w:cs="微软雅黑"/>
                <w:color w:val="auto"/>
                <w:sz w:val="28"/>
                <w:szCs w:val="28"/>
                <w:vertAlign w:val="baseline"/>
                <w:lang w:val="en-US" w:eastAsia="zh-CN"/>
              </w:rPr>
              <w:t>2025级所有专业</w:t>
            </w:r>
          </w:p>
        </w:tc>
      </w:tr>
    </w:tbl>
    <w:p w14:paraId="279439D4">
      <w:pPr>
        <w:jc w:val="both"/>
        <w:rPr>
          <w:rFonts w:hint="eastAsia" w:ascii="微软雅黑" w:hAnsi="微软雅黑" w:eastAsia="微软雅黑" w:cs="微软雅黑"/>
          <w:sz w:val="36"/>
          <w:szCs w:val="36"/>
          <w:lang w:val="en-US" w:eastAsia="zh-CN"/>
        </w:rPr>
      </w:pPr>
    </w:p>
    <w:p w14:paraId="1A2AB6C5">
      <w:pPr>
        <w:jc w:val="both"/>
        <w:rPr>
          <w:rFonts w:hint="eastAsia" w:ascii="微软雅黑" w:hAnsi="微软雅黑" w:eastAsia="微软雅黑" w:cs="微软雅黑"/>
          <w:sz w:val="36"/>
          <w:szCs w:val="36"/>
          <w:lang w:val="en-US" w:eastAsia="zh-CN"/>
        </w:rPr>
      </w:pPr>
    </w:p>
    <w:p w14:paraId="451F6F18">
      <w:pPr>
        <w:jc w:val="center"/>
        <w:rPr>
          <w:rFonts w:hint="default" w:ascii="微软雅黑" w:hAnsi="微软雅黑" w:eastAsia="微软雅黑" w:cs="微软雅黑"/>
          <w:sz w:val="28"/>
          <w:szCs w:val="28"/>
          <w:lang w:val="en-US" w:eastAsia="zh-CN"/>
        </w:rPr>
      </w:pPr>
      <w:r>
        <w:rPr>
          <w:rFonts w:hint="eastAsia" w:ascii="方正小标宋_GBK" w:eastAsia="方正小标宋_GBK"/>
          <w:sz w:val="36"/>
          <w:szCs w:val="36"/>
          <w:lang w:val="en-US" w:eastAsia="zh-CN"/>
        </w:rPr>
        <w:t>2025年7月编</w:t>
      </w:r>
    </w:p>
    <w:p w14:paraId="13A1C8B3">
      <w:pPr>
        <w:jc w:val="center"/>
        <w:rPr>
          <w:rFonts w:hint="eastAsia" w:ascii="方正小标宋_GBK" w:hAnsi="方正小标宋_GBK" w:eastAsia="方正小标宋_GBK" w:cs="方正小标宋_GBK"/>
          <w:sz w:val="44"/>
          <w:szCs w:val="44"/>
          <w:lang w:val="en-US" w:eastAsia="zh-CN"/>
        </w:rPr>
        <w:sectPr>
          <w:pgSz w:w="11906" w:h="16838"/>
          <w:pgMar w:top="1417" w:right="1417" w:bottom="1417" w:left="1417" w:header="851" w:footer="992" w:gutter="0"/>
          <w:pgBorders>
            <w:top w:val="none" w:sz="0" w:space="0"/>
            <w:left w:val="none" w:sz="0" w:space="0"/>
            <w:bottom w:val="none" w:sz="0" w:space="0"/>
            <w:right w:val="none" w:sz="0" w:space="0"/>
          </w:pgBorders>
          <w:pgNumType w:fmt="decimal" w:start="1"/>
          <w:cols w:space="720" w:num="1"/>
          <w:rtlGutter w:val="0"/>
          <w:docGrid w:type="lines" w:linePitch="312" w:charSpace="0"/>
        </w:sectPr>
      </w:pPr>
    </w:p>
    <w:p w14:paraId="260685B5">
      <w:pPr>
        <w:jc w:val="center"/>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北海康养职业学院教案设计</w:t>
      </w:r>
    </w:p>
    <w:tbl>
      <w:tblPr>
        <w:tblStyle w:val="9"/>
        <w:tblW w:w="95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2086"/>
        <w:gridCol w:w="1183"/>
        <w:gridCol w:w="1511"/>
        <w:gridCol w:w="1025"/>
        <w:gridCol w:w="959"/>
        <w:gridCol w:w="1350"/>
      </w:tblGrid>
      <w:tr w14:paraId="20F88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18" w:type="dxa"/>
            <w:noWrap w:val="0"/>
            <w:vAlign w:val="center"/>
          </w:tcPr>
          <w:p w14:paraId="497B2008">
            <w:pPr>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授课教师</w:t>
            </w:r>
          </w:p>
        </w:tc>
        <w:tc>
          <w:tcPr>
            <w:tcW w:w="2086" w:type="dxa"/>
            <w:noWrap w:val="0"/>
            <w:vAlign w:val="center"/>
          </w:tcPr>
          <w:p w14:paraId="4782215F">
            <w:pPr>
              <w:jc w:val="center"/>
              <w:rPr>
                <w:rFonts w:hint="eastAsia" w:ascii="宋体" w:hAnsi="宋体" w:eastAsia="宋体" w:cs="宋体"/>
                <w:b w:val="0"/>
                <w:bCs w:val="0"/>
                <w:color w:val="auto"/>
                <w:sz w:val="21"/>
                <w:szCs w:val="21"/>
                <w:lang w:val="en-US" w:eastAsia="zh-CN"/>
              </w:rPr>
            </w:pPr>
            <w:r>
              <w:rPr>
                <w:rFonts w:hint="eastAsia" w:ascii="宋体" w:hAnsi="宋体"/>
                <w:b w:val="0"/>
                <w:bCs w:val="0"/>
                <w:color w:val="auto"/>
                <w:sz w:val="24"/>
                <w:lang w:val="en-US" w:eastAsia="zh-CN"/>
              </w:rPr>
              <w:t>XX</w:t>
            </w:r>
          </w:p>
        </w:tc>
        <w:tc>
          <w:tcPr>
            <w:tcW w:w="1183" w:type="dxa"/>
            <w:noWrap w:val="0"/>
            <w:vAlign w:val="center"/>
          </w:tcPr>
          <w:p w14:paraId="5DBE9A5C">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课程名称</w:t>
            </w:r>
          </w:p>
        </w:tc>
        <w:tc>
          <w:tcPr>
            <w:tcW w:w="4845" w:type="dxa"/>
            <w:gridSpan w:val="4"/>
            <w:noWrap w:val="0"/>
            <w:vAlign w:val="center"/>
          </w:tcPr>
          <w:p w14:paraId="4B0F09CB">
            <w:pPr>
              <w:jc w:val="center"/>
              <w:rPr>
                <w:rFonts w:hint="default" w:ascii="宋体" w:hAnsi="宋体" w:eastAsia="宋体" w:cs="宋体"/>
                <w:b w:val="0"/>
                <w:bCs w:val="0"/>
                <w:color w:val="auto"/>
                <w:sz w:val="21"/>
                <w:szCs w:val="21"/>
                <w:lang w:val="en-US" w:eastAsia="zh-CN"/>
              </w:rPr>
            </w:pPr>
            <w:r>
              <w:rPr>
                <w:rFonts w:hint="eastAsia" w:ascii="宋体" w:hAnsi="宋体" w:cs="宋体"/>
                <w:b w:val="0"/>
                <w:bCs w:val="0"/>
                <w:color w:val="auto"/>
                <w:sz w:val="21"/>
                <w:szCs w:val="21"/>
                <w:lang w:val="en-US" w:eastAsia="zh-CN"/>
              </w:rPr>
              <w:t>卓越之路：大学生综合素养提升教程</w:t>
            </w:r>
          </w:p>
        </w:tc>
      </w:tr>
      <w:tr w14:paraId="79F42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18" w:type="dxa"/>
            <w:noWrap w:val="0"/>
            <w:vAlign w:val="center"/>
          </w:tcPr>
          <w:p w14:paraId="3E28D427">
            <w:pPr>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课程章节</w:t>
            </w:r>
          </w:p>
        </w:tc>
        <w:tc>
          <w:tcPr>
            <w:tcW w:w="3269" w:type="dxa"/>
            <w:gridSpan w:val="2"/>
            <w:noWrap w:val="0"/>
            <w:vAlign w:val="center"/>
          </w:tcPr>
          <w:p w14:paraId="41FE8663">
            <w:pPr>
              <w:jc w:val="both"/>
              <w:rPr>
                <w:rFonts w:hint="default" w:ascii="宋体" w:hAnsi="宋体" w:eastAsia="宋体" w:cs="宋体"/>
                <w:b w:val="0"/>
                <w:bCs w:val="0"/>
                <w:color w:val="auto"/>
                <w:sz w:val="21"/>
                <w:szCs w:val="21"/>
                <w:lang w:val="en-US" w:eastAsia="zh-CN"/>
              </w:rPr>
            </w:pPr>
            <w:r>
              <w:rPr>
                <w:rFonts w:hint="eastAsia" w:ascii="宋体" w:hAnsi="宋体" w:cs="宋体"/>
                <w:b w:val="0"/>
                <w:bCs w:val="0"/>
                <w:color w:val="auto"/>
                <w:sz w:val="21"/>
                <w:szCs w:val="21"/>
                <w:lang w:val="en-US" w:eastAsia="zh-CN"/>
              </w:rPr>
              <w:t>专题二人文素养与职业操守</w:t>
            </w:r>
          </w:p>
        </w:tc>
        <w:tc>
          <w:tcPr>
            <w:tcW w:w="1511" w:type="dxa"/>
            <w:noWrap w:val="0"/>
            <w:vAlign w:val="center"/>
          </w:tcPr>
          <w:p w14:paraId="49B15BC7">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授课学时</w:t>
            </w:r>
          </w:p>
        </w:tc>
        <w:tc>
          <w:tcPr>
            <w:tcW w:w="3334" w:type="dxa"/>
            <w:gridSpan w:val="3"/>
            <w:noWrap w:val="0"/>
            <w:vAlign w:val="center"/>
          </w:tcPr>
          <w:p w14:paraId="4707DDEE">
            <w:pPr>
              <w:jc w:val="center"/>
              <w:rPr>
                <w:rFonts w:hint="default" w:ascii="宋体" w:hAnsi="宋体" w:eastAsia="宋体" w:cs="宋体"/>
                <w:b w:val="0"/>
                <w:bCs w:val="0"/>
                <w:color w:val="auto"/>
                <w:sz w:val="21"/>
                <w:szCs w:val="21"/>
                <w:lang w:val="en-US" w:eastAsia="zh-CN"/>
              </w:rPr>
            </w:pPr>
            <w:r>
              <w:rPr>
                <w:rFonts w:hint="eastAsia" w:ascii="宋体" w:hAnsi="宋体"/>
                <w:b w:val="0"/>
                <w:bCs w:val="0"/>
                <w:color w:val="auto"/>
                <w:sz w:val="24"/>
                <w:lang w:val="en-US" w:eastAsia="zh-CN"/>
              </w:rPr>
              <w:t>2学时</w:t>
            </w:r>
          </w:p>
        </w:tc>
      </w:tr>
      <w:tr w14:paraId="6BC37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18" w:type="dxa"/>
            <w:noWrap w:val="0"/>
            <w:vAlign w:val="center"/>
          </w:tcPr>
          <w:p w14:paraId="3E4F2A03">
            <w:pPr>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授课对象</w:t>
            </w:r>
          </w:p>
        </w:tc>
        <w:tc>
          <w:tcPr>
            <w:tcW w:w="3269" w:type="dxa"/>
            <w:gridSpan w:val="2"/>
            <w:noWrap w:val="0"/>
            <w:vAlign w:val="center"/>
          </w:tcPr>
          <w:p w14:paraId="6E25C737">
            <w:pPr>
              <w:jc w:val="center"/>
              <w:rPr>
                <w:rFonts w:hint="default" w:ascii="宋体" w:hAnsi="宋体" w:eastAsia="宋体" w:cs="宋体"/>
                <w:b w:val="0"/>
                <w:bCs w:val="0"/>
                <w:color w:val="auto"/>
                <w:sz w:val="21"/>
                <w:szCs w:val="21"/>
                <w:lang w:val="en-US" w:eastAsia="zh-CN"/>
              </w:rPr>
            </w:pPr>
            <w:r>
              <w:rPr>
                <w:rFonts w:hint="eastAsia" w:ascii="宋体" w:hAnsi="宋体"/>
                <w:b w:val="0"/>
                <w:bCs w:val="0"/>
                <w:color w:val="auto"/>
                <w:sz w:val="24"/>
                <w:lang w:val="en-US" w:eastAsia="zh-CN"/>
              </w:rPr>
              <w:t>2025级所有专业</w:t>
            </w:r>
          </w:p>
        </w:tc>
        <w:tc>
          <w:tcPr>
            <w:tcW w:w="1511" w:type="dxa"/>
            <w:noWrap w:val="0"/>
            <w:vAlign w:val="center"/>
          </w:tcPr>
          <w:p w14:paraId="3B5CA776">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授课类型</w:t>
            </w:r>
          </w:p>
          <w:p w14:paraId="56F94D01">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（理论/实训）</w:t>
            </w:r>
          </w:p>
        </w:tc>
        <w:tc>
          <w:tcPr>
            <w:tcW w:w="3334" w:type="dxa"/>
            <w:gridSpan w:val="3"/>
            <w:noWrap w:val="0"/>
            <w:vAlign w:val="center"/>
          </w:tcPr>
          <w:p w14:paraId="166C4CA2">
            <w:pPr>
              <w:jc w:val="center"/>
              <w:rPr>
                <w:rFonts w:hint="default" w:ascii="宋体" w:hAnsi="宋体" w:eastAsia="宋体" w:cs="宋体"/>
                <w:b w:val="0"/>
                <w:bCs w:val="0"/>
                <w:color w:val="auto"/>
                <w:sz w:val="21"/>
                <w:szCs w:val="21"/>
                <w:lang w:val="en-US" w:eastAsia="zh-CN"/>
              </w:rPr>
            </w:pPr>
            <w:r>
              <w:rPr>
                <w:rFonts w:hint="eastAsia" w:ascii="宋体" w:hAnsi="宋体"/>
                <w:b w:val="0"/>
                <w:bCs w:val="0"/>
                <w:color w:val="auto"/>
                <w:sz w:val="24"/>
                <w:lang w:val="en-US" w:eastAsia="zh-CN"/>
              </w:rPr>
              <w:t>理论课</w:t>
            </w:r>
          </w:p>
        </w:tc>
      </w:tr>
      <w:tr w14:paraId="7B1A0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18" w:type="dxa"/>
            <w:noWrap w:val="0"/>
            <w:vAlign w:val="center"/>
          </w:tcPr>
          <w:p w14:paraId="46C89E91">
            <w:pPr>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教材名称</w:t>
            </w:r>
          </w:p>
        </w:tc>
        <w:tc>
          <w:tcPr>
            <w:tcW w:w="2086" w:type="dxa"/>
            <w:tcBorders>
              <w:right w:val="single" w:color="000000" w:sz="4" w:space="0"/>
            </w:tcBorders>
            <w:noWrap w:val="0"/>
            <w:vAlign w:val="center"/>
          </w:tcPr>
          <w:p w14:paraId="06697C2A">
            <w:pPr>
              <w:jc w:val="center"/>
              <w:rPr>
                <w:rFonts w:hint="eastAsia" w:ascii="宋体" w:hAnsi="宋体" w:eastAsia="宋体" w:cs="宋体"/>
                <w:b w:val="0"/>
                <w:bCs w:val="0"/>
                <w:color w:val="auto"/>
                <w:sz w:val="21"/>
                <w:szCs w:val="21"/>
                <w:lang w:val="en-US" w:eastAsia="zh-CN"/>
              </w:rPr>
            </w:pPr>
            <w:r>
              <w:rPr>
                <w:rFonts w:hint="eastAsia" w:ascii="宋体" w:hAnsi="宋体" w:cs="宋体"/>
                <w:b w:val="0"/>
                <w:bCs w:val="0"/>
                <w:color w:val="auto"/>
                <w:sz w:val="21"/>
                <w:szCs w:val="21"/>
                <w:lang w:val="en-US" w:eastAsia="zh-CN"/>
              </w:rPr>
              <w:t>卓越之路：大学生综合素养提升教程</w:t>
            </w:r>
          </w:p>
        </w:tc>
        <w:tc>
          <w:tcPr>
            <w:tcW w:w="1183" w:type="dxa"/>
            <w:tcBorders>
              <w:top w:val="single" w:color="000000" w:sz="4" w:space="0"/>
              <w:left w:val="single" w:color="000000" w:sz="4" w:space="0"/>
              <w:right w:val="single" w:color="000000" w:sz="4" w:space="0"/>
            </w:tcBorders>
            <w:noWrap w:val="0"/>
            <w:vAlign w:val="center"/>
          </w:tcPr>
          <w:p w14:paraId="2F9D4212">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主编</w:t>
            </w:r>
          </w:p>
        </w:tc>
        <w:tc>
          <w:tcPr>
            <w:tcW w:w="1511" w:type="dxa"/>
            <w:tcBorders>
              <w:top w:val="single" w:color="000000" w:sz="4" w:space="0"/>
              <w:left w:val="single" w:color="000000" w:sz="4" w:space="0"/>
              <w:right w:val="single" w:color="000000" w:sz="4" w:space="0"/>
            </w:tcBorders>
            <w:noWrap w:val="0"/>
            <w:vAlign w:val="center"/>
          </w:tcPr>
          <w:p w14:paraId="07FF6744">
            <w:pPr>
              <w:jc w:val="center"/>
              <w:rPr>
                <w:rFonts w:hint="eastAsia" w:ascii="宋体" w:hAnsi="宋体" w:cs="宋体"/>
                <w:b w:val="0"/>
                <w:bCs w:val="0"/>
                <w:color w:val="auto"/>
                <w:sz w:val="21"/>
                <w:szCs w:val="21"/>
                <w:lang w:val="en-US" w:eastAsia="zh-CN"/>
              </w:rPr>
            </w:pPr>
            <w:r>
              <w:rPr>
                <w:rFonts w:hint="eastAsia" w:ascii="宋体" w:hAnsi="宋体" w:cs="宋体"/>
                <w:b w:val="0"/>
                <w:bCs w:val="0"/>
                <w:color w:val="auto"/>
                <w:sz w:val="21"/>
                <w:szCs w:val="21"/>
                <w:lang w:val="en-US" w:eastAsia="zh-CN"/>
              </w:rPr>
              <w:t xml:space="preserve">仲卫国 </w:t>
            </w:r>
          </w:p>
          <w:p w14:paraId="5D55C7EC">
            <w:pPr>
              <w:jc w:val="center"/>
              <w:rPr>
                <w:rFonts w:hint="default" w:ascii="宋体" w:hAnsi="宋体" w:eastAsia="宋体" w:cs="宋体"/>
                <w:b w:val="0"/>
                <w:bCs w:val="0"/>
                <w:color w:val="auto"/>
                <w:sz w:val="21"/>
                <w:szCs w:val="21"/>
                <w:lang w:val="en-US" w:eastAsia="zh-CN"/>
              </w:rPr>
            </w:pPr>
            <w:r>
              <w:rPr>
                <w:rFonts w:hint="eastAsia" w:ascii="宋体" w:hAnsi="宋体" w:cs="宋体"/>
                <w:b w:val="0"/>
                <w:bCs w:val="0"/>
                <w:color w:val="auto"/>
                <w:sz w:val="21"/>
                <w:szCs w:val="21"/>
                <w:lang w:val="en-US" w:eastAsia="zh-CN"/>
              </w:rPr>
              <w:t>刘昌平张文志</w:t>
            </w:r>
          </w:p>
        </w:tc>
        <w:tc>
          <w:tcPr>
            <w:tcW w:w="1025" w:type="dxa"/>
            <w:tcBorders>
              <w:left w:val="single" w:color="000000" w:sz="4" w:space="0"/>
              <w:right w:val="single" w:color="000000" w:sz="4" w:space="0"/>
            </w:tcBorders>
            <w:noWrap w:val="0"/>
            <w:vAlign w:val="center"/>
          </w:tcPr>
          <w:p w14:paraId="5D44CD34">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出版社</w:t>
            </w:r>
          </w:p>
        </w:tc>
        <w:tc>
          <w:tcPr>
            <w:tcW w:w="2309" w:type="dxa"/>
            <w:gridSpan w:val="2"/>
            <w:tcBorders>
              <w:left w:val="single" w:color="000000" w:sz="4" w:space="0"/>
            </w:tcBorders>
            <w:noWrap w:val="0"/>
            <w:vAlign w:val="center"/>
          </w:tcPr>
          <w:p w14:paraId="46B7A8D0">
            <w:pPr>
              <w:jc w:val="center"/>
              <w:rPr>
                <w:rFonts w:hint="default" w:ascii="宋体" w:hAnsi="宋体" w:eastAsia="宋体" w:cs="宋体"/>
                <w:b w:val="0"/>
                <w:bCs w:val="0"/>
                <w:color w:val="auto"/>
                <w:sz w:val="21"/>
                <w:szCs w:val="21"/>
                <w:lang w:val="en-US" w:eastAsia="zh-CN"/>
              </w:rPr>
            </w:pPr>
            <w:r>
              <w:rPr>
                <w:rFonts w:hint="eastAsia" w:ascii="宋体" w:hAnsi="宋体" w:cs="宋体"/>
                <w:b w:val="0"/>
                <w:bCs w:val="0"/>
                <w:color w:val="auto"/>
                <w:sz w:val="21"/>
                <w:szCs w:val="21"/>
                <w:lang w:val="en-US" w:eastAsia="zh-CN"/>
              </w:rPr>
              <w:t>中国民主法治出版社</w:t>
            </w:r>
          </w:p>
        </w:tc>
      </w:tr>
      <w:tr w14:paraId="22DF1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8" w:type="dxa"/>
            <w:vMerge w:val="restart"/>
            <w:noWrap w:val="0"/>
            <w:vAlign w:val="center"/>
          </w:tcPr>
          <w:p w14:paraId="5A34F4CA">
            <w:pPr>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教学目标</w:t>
            </w:r>
          </w:p>
        </w:tc>
        <w:tc>
          <w:tcPr>
            <w:tcW w:w="2086" w:type="dxa"/>
            <w:tcBorders>
              <w:right w:val="single" w:color="000000" w:sz="4" w:space="0"/>
            </w:tcBorders>
            <w:noWrap w:val="0"/>
            <w:vAlign w:val="center"/>
          </w:tcPr>
          <w:p w14:paraId="5D282229">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知识目标</w:t>
            </w:r>
          </w:p>
        </w:tc>
        <w:tc>
          <w:tcPr>
            <w:tcW w:w="6028" w:type="dxa"/>
            <w:gridSpan w:val="5"/>
            <w:tcBorders>
              <w:left w:val="single" w:color="000000" w:sz="4" w:space="0"/>
            </w:tcBorders>
            <w:noWrap w:val="0"/>
            <w:vAlign w:val="center"/>
          </w:tcPr>
          <w:p w14:paraId="6E475E8A">
            <w:pPr>
              <w:jc w:val="both"/>
              <w:rPr>
                <w:rFonts w:hint="eastAsia" w:ascii="宋体" w:hAnsi="宋体" w:eastAsia="宋体" w:cs="宋体"/>
                <w:color w:val="auto"/>
                <w:sz w:val="21"/>
                <w:szCs w:val="21"/>
              </w:rPr>
            </w:pPr>
            <w:r>
              <w:rPr>
                <w:rFonts w:hint="eastAsia" w:ascii="宋体" w:hAnsi="宋体" w:eastAsia="宋体" w:cs="宋体"/>
                <w:color w:val="auto"/>
                <w:sz w:val="21"/>
                <w:szCs w:val="21"/>
              </w:rPr>
              <w:t>1.理解人文素养的概念。</w:t>
            </w:r>
          </w:p>
          <w:p w14:paraId="6A25C166">
            <w:pPr>
              <w:jc w:val="both"/>
              <w:rPr>
                <w:rFonts w:hint="eastAsia" w:ascii="宋体" w:hAnsi="宋体" w:eastAsia="宋体" w:cs="宋体"/>
                <w:color w:val="auto"/>
                <w:sz w:val="21"/>
                <w:szCs w:val="21"/>
              </w:rPr>
            </w:pPr>
            <w:r>
              <w:rPr>
                <w:rFonts w:hint="eastAsia" w:ascii="宋体" w:hAnsi="宋体" w:eastAsia="宋体" w:cs="宋体"/>
                <w:color w:val="auto"/>
                <w:sz w:val="21"/>
                <w:szCs w:val="21"/>
              </w:rPr>
              <w:t>2.理解职业操守的内涵</w:t>
            </w:r>
          </w:p>
          <w:p w14:paraId="1FC8D80C">
            <w:pPr>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3.掌握人文素养与职业操守的价值。</w:t>
            </w:r>
          </w:p>
        </w:tc>
      </w:tr>
      <w:tr w14:paraId="7DFA9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8" w:type="dxa"/>
            <w:vMerge w:val="continue"/>
            <w:noWrap w:val="0"/>
            <w:vAlign w:val="center"/>
          </w:tcPr>
          <w:p w14:paraId="75BBD1CA">
            <w:pPr>
              <w:jc w:val="center"/>
              <w:rPr>
                <w:rFonts w:hint="eastAsia" w:ascii="宋体" w:hAnsi="宋体" w:eastAsia="宋体" w:cs="宋体"/>
                <w:b/>
                <w:bCs/>
                <w:sz w:val="21"/>
                <w:szCs w:val="21"/>
                <w:lang w:val="en-US" w:eastAsia="zh-CN"/>
              </w:rPr>
            </w:pPr>
          </w:p>
        </w:tc>
        <w:tc>
          <w:tcPr>
            <w:tcW w:w="2086" w:type="dxa"/>
            <w:tcBorders>
              <w:right w:val="single" w:color="000000" w:sz="4" w:space="0"/>
            </w:tcBorders>
            <w:noWrap w:val="0"/>
            <w:vAlign w:val="center"/>
          </w:tcPr>
          <w:p w14:paraId="63A5717B">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能力目标</w:t>
            </w:r>
          </w:p>
        </w:tc>
        <w:tc>
          <w:tcPr>
            <w:tcW w:w="6028" w:type="dxa"/>
            <w:gridSpan w:val="5"/>
            <w:tcBorders>
              <w:left w:val="single" w:color="000000" w:sz="4" w:space="0"/>
            </w:tcBorders>
            <w:noWrap w:val="0"/>
            <w:vAlign w:val="center"/>
          </w:tcPr>
          <w:p w14:paraId="70D0BA2F">
            <w:pPr>
              <w:jc w:val="both"/>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1.提升人文素养实践能力。</w:t>
            </w:r>
          </w:p>
          <w:p w14:paraId="7F2EF716">
            <w:pPr>
              <w:jc w:val="both"/>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2.提升职业操守实践能力。</w:t>
            </w:r>
          </w:p>
          <w:p w14:paraId="2EC997B9">
            <w:pPr>
              <w:jc w:val="both"/>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3.增强团队合作能力。</w:t>
            </w:r>
          </w:p>
          <w:p w14:paraId="3EB85FBB">
            <w:pPr>
              <w:jc w:val="both"/>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4.培养批判性思维和价值判断能力。</w:t>
            </w:r>
          </w:p>
        </w:tc>
      </w:tr>
      <w:tr w14:paraId="490FB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8" w:type="dxa"/>
            <w:vMerge w:val="continue"/>
            <w:noWrap w:val="0"/>
            <w:vAlign w:val="center"/>
          </w:tcPr>
          <w:p w14:paraId="740E86A6">
            <w:pPr>
              <w:jc w:val="center"/>
              <w:rPr>
                <w:rFonts w:hint="eastAsia" w:ascii="宋体" w:hAnsi="宋体" w:eastAsia="宋体" w:cs="宋体"/>
                <w:b/>
                <w:bCs/>
                <w:sz w:val="21"/>
                <w:szCs w:val="21"/>
                <w:lang w:val="en-US" w:eastAsia="zh-CN"/>
              </w:rPr>
            </w:pPr>
          </w:p>
        </w:tc>
        <w:tc>
          <w:tcPr>
            <w:tcW w:w="2086" w:type="dxa"/>
            <w:tcBorders>
              <w:right w:val="single" w:color="000000" w:sz="4" w:space="0"/>
            </w:tcBorders>
            <w:noWrap w:val="0"/>
            <w:vAlign w:val="center"/>
          </w:tcPr>
          <w:p w14:paraId="358BF87A">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情感、态度、</w:t>
            </w:r>
          </w:p>
          <w:p w14:paraId="5871D02F">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价值观目标</w:t>
            </w:r>
          </w:p>
        </w:tc>
        <w:tc>
          <w:tcPr>
            <w:tcW w:w="6028" w:type="dxa"/>
            <w:gridSpan w:val="5"/>
            <w:tcBorders>
              <w:left w:val="single" w:color="000000" w:sz="4" w:space="0"/>
            </w:tcBorders>
            <w:noWrap w:val="0"/>
            <w:vAlign w:val="center"/>
          </w:tcPr>
          <w:p w14:paraId="06379739">
            <w:pPr>
              <w:jc w:val="both"/>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cs="宋体"/>
                <w:color w:val="auto"/>
                <w:sz w:val="21"/>
                <w:szCs w:val="21"/>
                <w:lang w:val="en-US" w:eastAsia="zh-CN"/>
              </w:rPr>
              <w:t>.</w:t>
            </w:r>
            <w:r>
              <w:rPr>
                <w:rFonts w:hint="eastAsia" w:ascii="宋体" w:hAnsi="宋体" w:eastAsia="宋体" w:cs="宋体"/>
                <w:color w:val="auto"/>
                <w:sz w:val="21"/>
                <w:szCs w:val="21"/>
              </w:rPr>
              <w:t>塑造具有理性思考能力、情感深度和社会责任感的健全人格。</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培养敬业精神和职业责任感，为未来的职业发展奠定基础：增</w:t>
            </w:r>
          </w:p>
          <w:p w14:paraId="5366F309">
            <w:pPr>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强社会责任感和使命感，使自身能够在职业活动中为社会做出积极贡献。</w:t>
            </w:r>
          </w:p>
        </w:tc>
      </w:tr>
      <w:tr w14:paraId="65051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8" w:type="dxa"/>
            <w:vMerge w:val="restart"/>
            <w:noWrap w:val="0"/>
            <w:vAlign w:val="center"/>
          </w:tcPr>
          <w:p w14:paraId="7899E35C">
            <w:pPr>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教学分析</w:t>
            </w:r>
          </w:p>
        </w:tc>
        <w:tc>
          <w:tcPr>
            <w:tcW w:w="2086" w:type="dxa"/>
            <w:tcBorders>
              <w:right w:val="single" w:color="000000" w:sz="4" w:space="0"/>
            </w:tcBorders>
            <w:noWrap w:val="0"/>
            <w:vAlign w:val="center"/>
          </w:tcPr>
          <w:p w14:paraId="7D0E6A38">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教学重点</w:t>
            </w:r>
          </w:p>
        </w:tc>
        <w:tc>
          <w:tcPr>
            <w:tcW w:w="6028" w:type="dxa"/>
            <w:gridSpan w:val="5"/>
            <w:tcBorders>
              <w:left w:val="single" w:color="000000" w:sz="4" w:space="0"/>
            </w:tcBorders>
            <w:noWrap w:val="0"/>
            <w:vAlign w:val="center"/>
          </w:tcPr>
          <w:p w14:paraId="0AB66479">
            <w:pPr>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lang w:val="en-US" w:eastAsia="zh-CN"/>
              </w:rPr>
              <w:t>职业操守的主要内容</w:t>
            </w:r>
            <w:r>
              <w:rPr>
                <w:rFonts w:hint="eastAsia" w:ascii="宋体" w:hAnsi="宋体" w:cs="宋体"/>
                <w:color w:val="auto"/>
                <w:sz w:val="21"/>
                <w:szCs w:val="21"/>
                <w:lang w:val="en-US" w:eastAsia="zh-CN"/>
              </w:rPr>
              <w:t>。</w:t>
            </w:r>
          </w:p>
          <w:p w14:paraId="304629B8">
            <w:pPr>
              <w:jc w:val="left"/>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2.</w:t>
            </w:r>
            <w:r>
              <w:rPr>
                <w:rFonts w:hint="eastAsia" w:ascii="宋体" w:hAnsi="宋体" w:eastAsia="宋体" w:cs="宋体"/>
                <w:color w:val="auto"/>
                <w:sz w:val="21"/>
                <w:szCs w:val="21"/>
                <w:lang w:val="en-US" w:eastAsia="zh-CN"/>
              </w:rPr>
              <w:t>人文素养培养策略</w:t>
            </w:r>
            <w:r>
              <w:rPr>
                <w:rFonts w:hint="eastAsia" w:ascii="宋体" w:hAnsi="宋体" w:cs="宋体"/>
                <w:color w:val="auto"/>
                <w:sz w:val="21"/>
                <w:szCs w:val="21"/>
                <w:lang w:val="en-US" w:eastAsia="zh-CN"/>
              </w:rPr>
              <w:t>。</w:t>
            </w:r>
          </w:p>
          <w:p w14:paraId="4FE6906B">
            <w:pPr>
              <w:jc w:val="left"/>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3.</w:t>
            </w:r>
            <w:r>
              <w:rPr>
                <w:rFonts w:hint="eastAsia" w:ascii="宋体" w:hAnsi="宋体" w:eastAsia="宋体" w:cs="宋体"/>
                <w:color w:val="auto"/>
                <w:sz w:val="21"/>
                <w:szCs w:val="21"/>
                <w:lang w:val="en-US" w:eastAsia="zh-CN"/>
              </w:rPr>
              <w:t>职业操守培养策略</w:t>
            </w:r>
            <w:r>
              <w:rPr>
                <w:rFonts w:hint="eastAsia" w:ascii="宋体" w:hAnsi="宋体" w:cs="宋体"/>
                <w:color w:val="auto"/>
                <w:sz w:val="21"/>
                <w:szCs w:val="21"/>
                <w:lang w:val="en-US" w:eastAsia="zh-CN"/>
              </w:rPr>
              <w:t>。</w:t>
            </w:r>
          </w:p>
        </w:tc>
      </w:tr>
      <w:tr w14:paraId="058AC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8" w:type="dxa"/>
            <w:vMerge w:val="continue"/>
            <w:noWrap w:val="0"/>
            <w:vAlign w:val="center"/>
          </w:tcPr>
          <w:p w14:paraId="7FAF59C8">
            <w:pPr>
              <w:jc w:val="center"/>
              <w:rPr>
                <w:rFonts w:hint="eastAsia" w:ascii="宋体" w:hAnsi="宋体" w:eastAsia="宋体" w:cs="宋体"/>
                <w:b/>
                <w:bCs/>
                <w:sz w:val="21"/>
                <w:szCs w:val="21"/>
                <w:lang w:val="en-US" w:eastAsia="zh-CN"/>
              </w:rPr>
            </w:pPr>
          </w:p>
        </w:tc>
        <w:tc>
          <w:tcPr>
            <w:tcW w:w="2086" w:type="dxa"/>
            <w:tcBorders>
              <w:right w:val="single" w:color="000000" w:sz="4" w:space="0"/>
            </w:tcBorders>
            <w:noWrap w:val="0"/>
            <w:vAlign w:val="center"/>
          </w:tcPr>
          <w:p w14:paraId="36C29557">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教学难点</w:t>
            </w:r>
          </w:p>
        </w:tc>
        <w:tc>
          <w:tcPr>
            <w:tcW w:w="6028" w:type="dxa"/>
            <w:gridSpan w:val="5"/>
            <w:tcBorders>
              <w:left w:val="single" w:color="000000" w:sz="4" w:space="0"/>
            </w:tcBorders>
            <w:noWrap w:val="0"/>
            <w:vAlign w:val="center"/>
          </w:tcPr>
          <w:p w14:paraId="7FD4F8E4">
            <w:pPr>
              <w:keepNext w:val="0"/>
              <w:keepLines w:val="0"/>
              <w:widowControl/>
              <w:suppressLineNumbers w:val="0"/>
              <w:jc w:val="left"/>
              <w:rPr>
                <w:rFonts w:hint="default" w:ascii="宋体" w:hAnsi="宋体" w:eastAsia="宋体" w:cs="宋体"/>
                <w:color w:val="auto"/>
                <w:sz w:val="21"/>
                <w:szCs w:val="21"/>
                <w:lang w:val="en-US" w:eastAsia="zh-CN"/>
              </w:rPr>
            </w:pPr>
            <w:r>
              <w:rPr>
                <w:rFonts w:hint="default" w:ascii="宋体" w:hAnsi="宋体" w:eastAsia="宋体" w:cs="宋体"/>
                <w:color w:val="auto"/>
                <w:sz w:val="21"/>
                <w:szCs w:val="21"/>
                <w:lang w:val="en-US" w:eastAsia="zh-CN"/>
              </w:rPr>
              <w:t xml:space="preserve">如何将抽象的人文关怀理念有效转化为学生在康养服务场景中可实践、可感知的具体行为和职业本能。  </w:t>
            </w:r>
          </w:p>
        </w:tc>
      </w:tr>
      <w:tr w14:paraId="23EA2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8" w:type="dxa"/>
            <w:vMerge w:val="continue"/>
            <w:noWrap w:val="0"/>
            <w:vAlign w:val="center"/>
          </w:tcPr>
          <w:p w14:paraId="76FFC49E">
            <w:pPr>
              <w:jc w:val="center"/>
              <w:rPr>
                <w:rFonts w:hint="eastAsia" w:ascii="宋体" w:hAnsi="宋体" w:eastAsia="宋体" w:cs="宋体"/>
                <w:b/>
                <w:bCs/>
                <w:sz w:val="21"/>
                <w:szCs w:val="21"/>
                <w:lang w:val="en-US" w:eastAsia="zh-CN"/>
              </w:rPr>
            </w:pPr>
          </w:p>
        </w:tc>
        <w:tc>
          <w:tcPr>
            <w:tcW w:w="2086" w:type="dxa"/>
            <w:tcBorders>
              <w:right w:val="single" w:color="000000" w:sz="4" w:space="0"/>
            </w:tcBorders>
            <w:noWrap w:val="0"/>
            <w:vAlign w:val="center"/>
          </w:tcPr>
          <w:p w14:paraId="3A73C954">
            <w:pPr>
              <w:jc w:val="center"/>
              <w:rPr>
                <w:rFonts w:hint="default" w:ascii="宋体" w:hAnsi="宋体" w:eastAsia="宋体" w:cs="宋体"/>
                <w:b/>
                <w:bCs/>
                <w:color w:val="auto"/>
                <w:sz w:val="21"/>
                <w:szCs w:val="21"/>
                <w:lang w:val="en-US" w:eastAsia="zh-CN"/>
              </w:rPr>
            </w:pPr>
            <w:r>
              <w:rPr>
                <w:rFonts w:hint="eastAsia" w:ascii="宋体" w:hAnsi="宋体" w:cs="宋体"/>
                <w:b w:val="0"/>
                <w:bCs w:val="0"/>
                <w:color w:val="auto"/>
                <w:sz w:val="21"/>
                <w:szCs w:val="21"/>
                <w:lang w:val="en-US" w:eastAsia="zh-CN"/>
              </w:rPr>
              <w:t>学情分析</w:t>
            </w:r>
          </w:p>
        </w:tc>
        <w:tc>
          <w:tcPr>
            <w:tcW w:w="6028" w:type="dxa"/>
            <w:gridSpan w:val="5"/>
            <w:tcBorders>
              <w:left w:val="single" w:color="000000" w:sz="4" w:space="0"/>
            </w:tcBorders>
            <w:noWrap w:val="0"/>
            <w:vAlign w:val="center"/>
          </w:tcPr>
          <w:p w14:paraId="73658442">
            <w:pPr>
              <w:jc w:val="both"/>
              <w:rPr>
                <w:rFonts w:hint="default" w:ascii="宋体" w:hAnsi="宋体" w:cs="宋体"/>
                <w:b/>
                <w:bCs/>
                <w:color w:val="auto"/>
                <w:sz w:val="21"/>
                <w:szCs w:val="21"/>
                <w:lang w:val="en-US" w:eastAsia="zh-CN"/>
              </w:rPr>
            </w:pPr>
            <w:r>
              <w:rPr>
                <w:rFonts w:hint="eastAsia" w:ascii="宋体" w:hAnsi="宋体" w:cs="宋体"/>
                <w:b w:val="0"/>
                <w:bCs w:val="0"/>
                <w:color w:val="auto"/>
                <w:sz w:val="21"/>
                <w:szCs w:val="21"/>
                <w:lang w:val="en-US" w:eastAsia="zh-CN"/>
              </w:rPr>
              <w:t>本</w:t>
            </w:r>
            <w:r>
              <w:rPr>
                <w:rFonts w:hint="eastAsia" w:ascii="宋体" w:hAnsi="宋体" w:eastAsia="宋体" w:cs="宋体"/>
                <w:color w:val="auto"/>
                <w:sz w:val="21"/>
                <w:szCs w:val="21"/>
                <w:lang w:val="en-US" w:eastAsia="zh-CN"/>
              </w:rPr>
              <w:t>次授课对象为大一学</w:t>
            </w:r>
            <w:r>
              <w:rPr>
                <w:rFonts w:hint="eastAsia" w:ascii="宋体" w:hAnsi="宋体" w:eastAsia="宋体" w:cs="宋体"/>
                <w:color w:val="auto"/>
                <w:sz w:val="21"/>
                <w:szCs w:val="21"/>
              </w:rPr>
              <w:t>新生</w:t>
            </w:r>
            <w:r>
              <w:rPr>
                <w:rFonts w:hint="eastAsia" w:ascii="宋体" w:hAnsi="宋体" w:cs="宋体"/>
                <w:color w:val="auto"/>
                <w:sz w:val="21"/>
                <w:szCs w:val="21"/>
                <w:lang w:eastAsia="zh-CN"/>
              </w:rPr>
              <w:t>，</w:t>
            </w:r>
            <w:r>
              <w:rPr>
                <w:rFonts w:hint="eastAsia" w:ascii="宋体" w:hAnsi="宋体" w:eastAsia="宋体" w:cs="宋体"/>
                <w:color w:val="auto"/>
                <w:sz w:val="21"/>
                <w:szCs w:val="21"/>
              </w:rPr>
              <w:t>处于高中到大学的过渡期，职业认知较模糊，但可塑性强；康养专业要求学生具备人文关怀与伦理操守，但新生对</w:t>
            </w:r>
            <w:r>
              <w:rPr>
                <w:rFonts w:hint="eastAsia" w:ascii="宋体" w:hAnsi="宋体" w:cs="宋体"/>
                <w:color w:val="auto"/>
                <w:sz w:val="21"/>
                <w:szCs w:val="21"/>
                <w:lang w:val="en-US" w:eastAsia="zh-CN"/>
              </w:rPr>
              <w:t>人文</w:t>
            </w:r>
            <w:r>
              <w:rPr>
                <w:rFonts w:hint="eastAsia" w:ascii="宋体" w:hAnsi="宋体" w:eastAsia="宋体" w:cs="宋体"/>
                <w:color w:val="auto"/>
                <w:sz w:val="21"/>
                <w:szCs w:val="21"/>
              </w:rPr>
              <w:t>素养的内涵理解较浅</w:t>
            </w:r>
            <w:r>
              <w:rPr>
                <w:rFonts w:hint="eastAsia" w:ascii="宋体" w:hAnsi="宋体" w:cs="宋体"/>
                <w:color w:val="auto"/>
                <w:sz w:val="21"/>
                <w:szCs w:val="21"/>
                <w:lang w:eastAsia="zh-CN"/>
              </w:rPr>
              <w:t>，</w:t>
            </w:r>
            <w:r>
              <w:rPr>
                <w:rFonts w:hint="eastAsia" w:ascii="宋体" w:hAnsi="宋体" w:eastAsia="宋体" w:cs="宋体"/>
                <w:color w:val="auto"/>
                <w:sz w:val="21"/>
                <w:szCs w:val="21"/>
              </w:rPr>
              <w:t>部分学生自律性较弱</w:t>
            </w:r>
            <w:r>
              <w:rPr>
                <w:rFonts w:hint="default" w:ascii="宋体" w:hAnsi="宋体" w:eastAsia="宋体" w:cs="宋体"/>
                <w:color w:val="auto"/>
                <w:sz w:val="21"/>
                <w:szCs w:val="21"/>
              </w:rPr>
              <w:t>，需将人文精神融入康养场景，通过案例教学深化其对职业价值的认同。</w:t>
            </w:r>
          </w:p>
        </w:tc>
      </w:tr>
      <w:tr w14:paraId="2D1AF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18" w:type="dxa"/>
            <w:vMerge w:val="continue"/>
            <w:noWrap w:val="0"/>
            <w:vAlign w:val="center"/>
          </w:tcPr>
          <w:p w14:paraId="7577CC58">
            <w:pPr>
              <w:jc w:val="center"/>
              <w:rPr>
                <w:rFonts w:hint="eastAsia" w:ascii="宋体" w:hAnsi="宋体" w:eastAsia="宋体" w:cs="宋体"/>
                <w:b/>
                <w:bCs/>
                <w:sz w:val="21"/>
                <w:szCs w:val="21"/>
                <w:lang w:val="en-US" w:eastAsia="zh-CN"/>
              </w:rPr>
            </w:pPr>
          </w:p>
        </w:tc>
        <w:tc>
          <w:tcPr>
            <w:tcW w:w="2086" w:type="dxa"/>
            <w:tcBorders>
              <w:right w:val="single" w:color="000000" w:sz="4" w:space="0"/>
            </w:tcBorders>
            <w:noWrap w:val="0"/>
            <w:vAlign w:val="center"/>
          </w:tcPr>
          <w:p w14:paraId="31587A72">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教学方法与手段</w:t>
            </w:r>
          </w:p>
        </w:tc>
        <w:tc>
          <w:tcPr>
            <w:tcW w:w="6028" w:type="dxa"/>
            <w:gridSpan w:val="5"/>
            <w:tcBorders>
              <w:left w:val="single" w:color="000000" w:sz="4" w:space="0"/>
            </w:tcBorders>
            <w:noWrap w:val="0"/>
            <w:vAlign w:val="center"/>
          </w:tcPr>
          <w:p w14:paraId="2262F015">
            <w:pPr>
              <w:jc w:val="both"/>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教学方法：</w:t>
            </w:r>
            <w:r>
              <w:rPr>
                <w:rFonts w:hint="eastAsia" w:ascii="宋体" w:hAnsi="宋体" w:eastAsia="宋体" w:cs="宋体"/>
                <w:color w:val="auto"/>
                <w:sz w:val="21"/>
                <w:szCs w:val="21"/>
              </w:rPr>
              <w:t>讲授</w:t>
            </w:r>
            <w:r>
              <w:rPr>
                <w:rFonts w:hint="eastAsia" w:ascii="宋体" w:hAnsi="宋体" w:cs="宋体"/>
                <w:color w:val="auto"/>
                <w:sz w:val="21"/>
                <w:szCs w:val="21"/>
                <w:lang w:val="en-US" w:eastAsia="zh-CN"/>
              </w:rPr>
              <w:t>法</w:t>
            </w:r>
            <w:r>
              <w:rPr>
                <w:rFonts w:hint="eastAsia" w:ascii="宋体" w:hAnsi="宋体" w:eastAsia="宋体" w:cs="宋体"/>
                <w:color w:val="auto"/>
                <w:sz w:val="21"/>
                <w:szCs w:val="21"/>
              </w:rPr>
              <w:t>、启发式</w:t>
            </w:r>
            <w:r>
              <w:rPr>
                <w:rFonts w:hint="eastAsia" w:ascii="宋体" w:hAnsi="宋体" w:cs="宋体"/>
                <w:color w:val="auto"/>
                <w:sz w:val="21"/>
                <w:szCs w:val="21"/>
                <w:lang w:val="en-US" w:eastAsia="zh-CN"/>
              </w:rPr>
              <w:t>教学法</w:t>
            </w:r>
            <w:r>
              <w:rPr>
                <w:rFonts w:hint="eastAsia" w:ascii="宋体" w:hAnsi="宋体" w:eastAsia="宋体" w:cs="宋体"/>
                <w:color w:val="auto"/>
                <w:sz w:val="21"/>
                <w:szCs w:val="21"/>
              </w:rPr>
              <w:t>、</w:t>
            </w:r>
            <w:r>
              <w:rPr>
                <w:rFonts w:hint="eastAsia" w:ascii="宋体" w:hAnsi="宋体" w:cs="宋体"/>
                <w:color w:val="auto"/>
                <w:sz w:val="21"/>
                <w:szCs w:val="21"/>
                <w:lang w:val="en-US" w:eastAsia="zh-CN"/>
              </w:rPr>
              <w:t>讨论法、</w:t>
            </w:r>
            <w:r>
              <w:rPr>
                <w:rFonts w:hint="eastAsia" w:ascii="宋体" w:hAnsi="宋体" w:eastAsia="宋体" w:cs="宋体"/>
                <w:color w:val="auto"/>
                <w:sz w:val="21"/>
                <w:szCs w:val="21"/>
              </w:rPr>
              <w:t>案例教学</w:t>
            </w:r>
            <w:r>
              <w:rPr>
                <w:rFonts w:hint="eastAsia" w:ascii="宋体" w:hAnsi="宋体" w:cs="宋体"/>
                <w:color w:val="auto"/>
                <w:sz w:val="21"/>
                <w:szCs w:val="21"/>
                <w:lang w:val="en-US" w:eastAsia="zh-CN"/>
              </w:rPr>
              <w:t>法</w:t>
            </w:r>
          </w:p>
          <w:p w14:paraId="2DFBDB95">
            <w:pPr>
              <w:jc w:val="both"/>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教学手段：教材、“价值观卡片”、多媒体课件</w:t>
            </w:r>
          </w:p>
        </w:tc>
      </w:tr>
      <w:tr w14:paraId="14DD5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18" w:type="dxa"/>
            <w:noWrap w:val="0"/>
            <w:vAlign w:val="center"/>
          </w:tcPr>
          <w:p w14:paraId="10BE99B5">
            <w:pPr>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课程思政</w:t>
            </w:r>
          </w:p>
          <w:p w14:paraId="74C2029E">
            <w:pPr>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融入点</w:t>
            </w:r>
          </w:p>
        </w:tc>
        <w:tc>
          <w:tcPr>
            <w:tcW w:w="8114" w:type="dxa"/>
            <w:gridSpan w:val="6"/>
            <w:noWrap w:val="0"/>
            <w:vAlign w:val="center"/>
          </w:tcPr>
          <w:p w14:paraId="4E536D50">
            <w:pPr>
              <w:jc w:val="both"/>
              <w:rPr>
                <w:rFonts w:hint="eastAsia" w:ascii="宋体" w:hAnsi="宋体" w:eastAsia="宋体" w:cs="宋体"/>
                <w:color w:val="auto"/>
                <w:sz w:val="21"/>
                <w:szCs w:val="21"/>
              </w:rPr>
            </w:pPr>
            <w:r>
              <w:rPr>
                <w:rFonts w:hint="eastAsia" w:ascii="宋体" w:hAnsi="宋体" w:eastAsia="宋体" w:cs="宋体"/>
                <w:color w:val="auto"/>
                <w:sz w:val="21"/>
                <w:szCs w:val="21"/>
              </w:rPr>
              <w:t>可紧扣健康中国战略，通过引入典型案例，让学生理解职业行为肩负的社会责任，增强服务国家健康事业的价值认同。此外，针对新生“知行分离”问题，设计情境教案，让学生在角色扮演中输出职业行为准则，将思政内核转化为职业习惯。</w:t>
            </w:r>
          </w:p>
        </w:tc>
      </w:tr>
      <w:tr w14:paraId="646FB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18" w:type="dxa"/>
            <w:noWrap w:val="0"/>
            <w:vAlign w:val="center"/>
          </w:tcPr>
          <w:p w14:paraId="3DBD21C3">
            <w:pPr>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参考文献</w:t>
            </w:r>
          </w:p>
        </w:tc>
        <w:tc>
          <w:tcPr>
            <w:tcW w:w="8114" w:type="dxa"/>
            <w:gridSpan w:val="6"/>
            <w:noWrap w:val="0"/>
            <w:vAlign w:val="center"/>
          </w:tcPr>
          <w:p w14:paraId="5B1114D4">
            <w:pPr>
              <w:jc w:val="both"/>
              <w:rPr>
                <w:rFonts w:hint="eastAsia" w:ascii="宋体" w:hAnsi="宋体" w:eastAsia="宋体" w:cs="宋体"/>
                <w:color w:val="auto"/>
                <w:sz w:val="21"/>
                <w:szCs w:val="21"/>
                <w:lang w:val="en-US" w:eastAsia="zh-CN"/>
              </w:rPr>
            </w:pPr>
            <w:r>
              <w:rPr>
                <w:rFonts w:hint="default" w:ascii="宋体" w:hAnsi="宋体" w:eastAsia="宋体" w:cs="宋体"/>
                <w:color w:val="auto"/>
                <w:sz w:val="21"/>
                <w:szCs w:val="21"/>
                <w:lang w:val="en-US" w:eastAsia="zh-CN"/>
              </w:rPr>
              <w:t>[</w:t>
            </w:r>
            <w:r>
              <w:rPr>
                <w:rFonts w:hint="eastAsia" w:ascii="宋体" w:hAnsi="宋体" w:eastAsia="宋体" w:cs="宋体"/>
                <w:color w:val="auto"/>
                <w:sz w:val="21"/>
                <w:szCs w:val="21"/>
                <w:lang w:val="en-US" w:eastAsia="zh-CN"/>
              </w:rPr>
              <w:t>1</w:t>
            </w:r>
            <w:r>
              <w:rPr>
                <w:rFonts w:hint="default"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val="en-US" w:eastAsia="zh-CN"/>
              </w:rPr>
              <w:t xml:space="preserve">胡秀锦．职业素养 </w:t>
            </w:r>
            <w:r>
              <w:rPr>
                <w:rFonts w:hint="default" w:ascii="宋体" w:hAnsi="宋体" w:eastAsia="宋体" w:cs="宋体"/>
                <w:color w:val="auto"/>
                <w:sz w:val="21"/>
                <w:szCs w:val="21"/>
                <w:lang w:val="en-US" w:eastAsia="zh-CN"/>
              </w:rPr>
              <w:t>[M]．</w:t>
            </w:r>
            <w:r>
              <w:rPr>
                <w:rFonts w:hint="default" w:ascii="宋体" w:hAnsi="宋体" w:eastAsia="宋体" w:cs="宋体"/>
                <w:color w:val="auto"/>
                <w:sz w:val="18"/>
                <w:szCs w:val="18"/>
                <w:lang w:val="en-US" w:eastAsia="zh-CN"/>
              </w:rPr>
              <w:t>２</w:t>
            </w:r>
            <w:r>
              <w:rPr>
                <w:rFonts w:hint="default" w:ascii="宋体" w:hAnsi="宋体" w:eastAsia="宋体" w:cs="宋体"/>
                <w:color w:val="auto"/>
                <w:sz w:val="21"/>
                <w:szCs w:val="21"/>
                <w:lang w:val="en-US" w:eastAsia="zh-CN"/>
              </w:rPr>
              <w:t xml:space="preserve">版．上海：华东师范大学出版社，2023． </w:t>
            </w:r>
          </w:p>
          <w:p w14:paraId="3AAC302E">
            <w:pPr>
              <w:jc w:val="both"/>
              <w:rPr>
                <w:rFonts w:hint="eastAsia" w:ascii="宋体" w:hAnsi="宋体" w:eastAsia="宋体" w:cs="宋体"/>
                <w:color w:val="auto"/>
                <w:sz w:val="21"/>
                <w:szCs w:val="21"/>
              </w:rPr>
            </w:pPr>
            <w:r>
              <w:rPr>
                <w:rFonts w:hint="default" w:ascii="宋体" w:hAnsi="宋体" w:eastAsia="宋体" w:cs="宋体"/>
                <w:color w:val="auto"/>
                <w:sz w:val="21"/>
                <w:szCs w:val="21"/>
                <w:lang w:val="en-US" w:eastAsia="zh-CN"/>
              </w:rPr>
              <w:t>[</w:t>
            </w:r>
            <w:r>
              <w:rPr>
                <w:rFonts w:hint="eastAsia" w:ascii="宋体" w:hAnsi="宋体" w:eastAsia="宋体" w:cs="宋体"/>
                <w:color w:val="auto"/>
                <w:sz w:val="21"/>
                <w:szCs w:val="21"/>
                <w:lang w:val="en-US" w:eastAsia="zh-CN"/>
              </w:rPr>
              <w:t>2</w:t>
            </w:r>
            <w:r>
              <w:rPr>
                <w:rFonts w:hint="default" w:ascii="宋体" w:hAnsi="宋体" w:eastAsia="宋体" w:cs="宋体"/>
                <w:color w:val="auto"/>
                <w:sz w:val="21"/>
                <w:szCs w:val="21"/>
                <w:lang w:val="en-US" w:eastAsia="zh-CN"/>
              </w:rPr>
              <w:t>] 林崇德．发展心理学 [M]．3 版．北京：人民教育出版社，2018．</w:t>
            </w:r>
          </w:p>
          <w:p w14:paraId="2627A575">
            <w:pPr>
              <w:jc w:val="both"/>
              <w:rPr>
                <w:rFonts w:hint="eastAsia" w:ascii="宋体" w:hAnsi="宋体" w:eastAsia="宋体" w:cs="宋体"/>
                <w:color w:val="auto"/>
                <w:sz w:val="21"/>
                <w:szCs w:val="21"/>
                <w:lang w:val="en-US" w:eastAsia="zh-CN"/>
              </w:rPr>
            </w:pPr>
            <w:r>
              <w:rPr>
                <w:rFonts w:hint="default" w:ascii="宋体" w:hAnsi="宋体" w:eastAsia="宋体" w:cs="宋体"/>
                <w:color w:val="auto"/>
                <w:sz w:val="21"/>
                <w:szCs w:val="21"/>
                <w:lang w:val="en-US" w:eastAsia="zh-CN"/>
              </w:rPr>
              <w:t>[</w:t>
            </w:r>
            <w:r>
              <w:rPr>
                <w:rFonts w:hint="eastAsia" w:ascii="宋体" w:hAnsi="宋体" w:eastAsia="宋体" w:cs="宋体"/>
                <w:color w:val="auto"/>
                <w:sz w:val="21"/>
                <w:szCs w:val="21"/>
                <w:lang w:val="en-US" w:eastAsia="zh-CN"/>
              </w:rPr>
              <w:t>3</w:t>
            </w:r>
            <w:r>
              <w:rPr>
                <w:rFonts w:hint="default"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val="en-US" w:eastAsia="zh-CN"/>
              </w:rPr>
              <w:t xml:space="preserve">程析．人文素质教育在大学思政课堂教学中的渗透 </w:t>
            </w:r>
            <w:r>
              <w:rPr>
                <w:rFonts w:hint="default" w:ascii="宋体" w:hAnsi="宋体" w:eastAsia="宋体" w:cs="宋体"/>
                <w:color w:val="auto"/>
                <w:sz w:val="21"/>
                <w:szCs w:val="21"/>
                <w:lang w:val="en-US" w:eastAsia="zh-CN"/>
              </w:rPr>
              <w:t>[J]．大学，2023（20）：17-20．</w:t>
            </w:r>
          </w:p>
        </w:tc>
      </w:tr>
      <w:tr w14:paraId="5D6F9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18" w:type="dxa"/>
            <w:noWrap w:val="0"/>
            <w:vAlign w:val="center"/>
          </w:tcPr>
          <w:p w14:paraId="1E00ADF4">
            <w:pPr>
              <w:jc w:val="center"/>
              <w:rPr>
                <w:rFonts w:hint="eastAsia" w:ascii="宋体" w:hAnsi="宋体" w:eastAsia="宋体" w:cs="宋体"/>
                <w:b/>
                <w:bCs/>
                <w:kern w:val="2"/>
                <w:sz w:val="21"/>
                <w:szCs w:val="21"/>
                <w:lang w:val="en-US" w:eastAsia="zh-CN" w:bidi="ar-SA"/>
              </w:rPr>
            </w:pPr>
            <w:r>
              <w:rPr>
                <w:rFonts w:hint="eastAsia" w:ascii="宋体" w:hAnsi="宋体" w:eastAsia="宋体" w:cs="宋体"/>
                <w:b/>
                <w:bCs/>
                <w:sz w:val="21"/>
                <w:szCs w:val="21"/>
                <w:lang w:val="en-US" w:eastAsia="zh-CN"/>
              </w:rPr>
              <w:t>教学过程</w:t>
            </w:r>
          </w:p>
        </w:tc>
        <w:tc>
          <w:tcPr>
            <w:tcW w:w="6764" w:type="dxa"/>
            <w:gridSpan w:val="5"/>
            <w:tcBorders>
              <w:right w:val="single" w:color="000000" w:sz="4" w:space="0"/>
            </w:tcBorders>
            <w:noWrap w:val="0"/>
            <w:vAlign w:val="center"/>
          </w:tcPr>
          <w:p w14:paraId="5E9E0462">
            <w:pPr>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主要教学内容及时间分配</w:t>
            </w:r>
          </w:p>
        </w:tc>
        <w:tc>
          <w:tcPr>
            <w:tcW w:w="1350" w:type="dxa"/>
            <w:tcBorders>
              <w:left w:val="single" w:color="000000" w:sz="4" w:space="0"/>
            </w:tcBorders>
            <w:noWrap w:val="0"/>
            <w:vAlign w:val="center"/>
          </w:tcPr>
          <w:p w14:paraId="7DE54612">
            <w:pPr>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设计意图</w:t>
            </w:r>
          </w:p>
        </w:tc>
      </w:tr>
      <w:tr w14:paraId="003EA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6" w:hRule="atLeast"/>
          <w:jc w:val="center"/>
        </w:trPr>
        <w:tc>
          <w:tcPr>
            <w:tcW w:w="1418" w:type="dxa"/>
            <w:noWrap w:val="0"/>
            <w:vAlign w:val="center"/>
          </w:tcPr>
          <w:p w14:paraId="60A097EA">
            <w:pPr>
              <w:spacing w:line="360" w:lineRule="auto"/>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导入</w:t>
            </w:r>
          </w:p>
          <w:p w14:paraId="0CD27B7B">
            <w:pPr>
              <w:spacing w:line="360" w:lineRule="auto"/>
              <w:jc w:val="center"/>
              <w:rPr>
                <w:rFonts w:hint="eastAsia" w:ascii="宋体" w:hAnsi="宋体" w:eastAsia="宋体" w:cs="宋体"/>
                <w:b/>
                <w:bCs/>
                <w:kern w:val="2"/>
                <w:sz w:val="21"/>
                <w:szCs w:val="21"/>
                <w:lang w:val="en-US" w:eastAsia="zh-CN" w:bidi="ar-SA"/>
              </w:rPr>
            </w:pPr>
            <w:r>
              <w:rPr>
                <w:rFonts w:hint="eastAsia" w:ascii="宋体" w:hAnsi="宋体" w:eastAsia="宋体" w:cs="宋体"/>
                <w:b/>
                <w:bCs/>
                <w:sz w:val="21"/>
                <w:szCs w:val="21"/>
                <w:lang w:val="en-US" w:eastAsia="zh-CN"/>
              </w:rPr>
              <w:t xml:space="preserve">（ </w:t>
            </w:r>
            <w:r>
              <w:rPr>
                <w:rFonts w:hint="eastAsia" w:ascii="宋体" w:hAnsi="宋体" w:cs="宋体"/>
                <w:b/>
                <w:bCs/>
                <w:sz w:val="21"/>
                <w:szCs w:val="21"/>
                <w:lang w:val="en-US" w:eastAsia="zh-CN"/>
              </w:rPr>
              <w:t>2</w:t>
            </w:r>
            <w:r>
              <w:rPr>
                <w:rFonts w:hint="eastAsia" w:ascii="宋体" w:hAnsi="宋体" w:eastAsia="宋体" w:cs="宋体"/>
                <w:b/>
                <w:bCs/>
                <w:sz w:val="21"/>
                <w:szCs w:val="21"/>
                <w:lang w:val="en-US" w:eastAsia="zh-CN"/>
              </w:rPr>
              <w:t xml:space="preserve"> 分钟）</w:t>
            </w:r>
          </w:p>
        </w:tc>
        <w:tc>
          <w:tcPr>
            <w:tcW w:w="6764" w:type="dxa"/>
            <w:gridSpan w:val="5"/>
            <w:tcBorders>
              <w:right w:val="single" w:color="000000" w:sz="4" w:space="0"/>
            </w:tcBorders>
            <w:noWrap w:val="0"/>
            <w:vAlign w:val="center"/>
          </w:tcPr>
          <w:p w14:paraId="184FBA03">
            <w:pPr>
              <w:spacing w:line="360" w:lineRule="auto"/>
              <w:jc w:val="both"/>
              <w:rPr>
                <w:rFonts w:hint="eastAsia" w:ascii="宋体" w:hAnsi="宋体" w:eastAsia="宋体" w:cs="宋体"/>
                <w:sz w:val="21"/>
                <w:szCs w:val="21"/>
                <w:lang w:val="en-US" w:eastAsia="zh-CN"/>
              </w:rPr>
            </w:pPr>
          </w:p>
          <w:p w14:paraId="72B8603A">
            <w:pPr>
              <w:numPr>
                <w:ilvl w:val="0"/>
                <w:numId w:val="0"/>
              </w:numPr>
              <w:spacing w:line="360" w:lineRule="auto"/>
              <w:jc w:val="both"/>
              <w:rPr>
                <w:rFonts w:hint="eastAsia" w:ascii="宋体" w:hAnsi="宋体" w:cs="宋体"/>
                <w:b/>
                <w:bCs/>
                <w:sz w:val="21"/>
                <w:szCs w:val="21"/>
                <w:lang w:val="en-US" w:eastAsia="zh-CN"/>
              </w:rPr>
            </w:pPr>
            <w:r>
              <w:rPr>
                <w:rFonts w:hint="eastAsia" w:ascii="宋体" w:hAnsi="宋体" w:cs="宋体"/>
                <w:b/>
                <w:bCs/>
                <w:sz w:val="21"/>
                <w:szCs w:val="21"/>
                <w:lang w:val="en-US" w:eastAsia="zh-CN"/>
              </w:rPr>
              <w:t>课前导入：</w:t>
            </w:r>
          </w:p>
          <w:p w14:paraId="1540702E">
            <w:pPr>
              <w:ind w:firstLine="420" w:firstLineChars="200"/>
              <w:jc w:val="both"/>
              <w:rPr>
                <w:rFonts w:hint="eastAsia" w:ascii="宋体" w:hAnsi="宋体" w:eastAsia="宋体" w:cs="宋体"/>
                <w:sz w:val="21"/>
                <w:szCs w:val="21"/>
                <w:lang w:val="en-US" w:eastAsia="zh-CN"/>
              </w:rPr>
            </w:pPr>
            <w:r>
              <w:rPr>
                <w:rFonts w:hint="eastAsia" w:ascii="宋体" w:hAnsi="宋体" w:cs="宋体"/>
                <w:color w:val="auto"/>
                <w:sz w:val="21"/>
                <w:szCs w:val="21"/>
                <w:lang w:val="en-US" w:eastAsia="zh-CN"/>
              </w:rPr>
              <w:t>同学们，在古希腊，有一位哲学家叫泰勒斯。有一次，他只顾着抬头观察星空，不小心掉进了井里。旁人嘲笑他只懂天上的事，却看不见脚下的路。可泰勒斯不在意这些，他凭借自己的智慧，通过观察天象预测到来年橄榄会丰收，提前租下榨油坊，赚了一大笔钱。这个故事告诉我们，拥有人文素养、关注精神世界的人，也能在现实生活中有所作为。接下来，让我们一起走进“人文素养”的世界</w:t>
            </w:r>
          </w:p>
        </w:tc>
        <w:tc>
          <w:tcPr>
            <w:tcW w:w="1350" w:type="dxa"/>
            <w:tcBorders>
              <w:left w:val="single" w:color="000000" w:sz="4" w:space="0"/>
            </w:tcBorders>
            <w:noWrap w:val="0"/>
            <w:vAlign w:val="center"/>
          </w:tcPr>
          <w:p w14:paraId="0FF20925">
            <w:pPr>
              <w:spacing w:line="360" w:lineRule="auto"/>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故事导入，激发学生兴趣</w:t>
            </w:r>
          </w:p>
        </w:tc>
      </w:tr>
      <w:tr w14:paraId="34A70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7" w:hRule="atLeast"/>
          <w:jc w:val="center"/>
        </w:trPr>
        <w:tc>
          <w:tcPr>
            <w:tcW w:w="1418" w:type="dxa"/>
            <w:noWrap w:val="0"/>
            <w:vAlign w:val="center"/>
          </w:tcPr>
          <w:p w14:paraId="2FE54A69">
            <w:p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讲解过程</w:t>
            </w:r>
          </w:p>
          <w:p w14:paraId="2954DC5C">
            <w:p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ascii="宋体" w:hAnsi="宋体" w:cs="宋体"/>
                <w:sz w:val="21"/>
                <w:szCs w:val="21"/>
                <w:lang w:val="en-US" w:eastAsia="zh-CN"/>
              </w:rPr>
              <w:t>50</w:t>
            </w:r>
            <w:r>
              <w:rPr>
                <w:rFonts w:hint="eastAsia" w:ascii="宋体" w:hAnsi="宋体" w:eastAsia="宋体" w:cs="宋体"/>
                <w:sz w:val="21"/>
                <w:szCs w:val="21"/>
                <w:lang w:val="en-US" w:eastAsia="zh-CN"/>
              </w:rPr>
              <w:t xml:space="preserve"> 分钟）</w:t>
            </w:r>
          </w:p>
        </w:tc>
        <w:tc>
          <w:tcPr>
            <w:tcW w:w="6764" w:type="dxa"/>
            <w:gridSpan w:val="5"/>
            <w:tcBorders>
              <w:right w:val="single" w:color="000000" w:sz="4" w:space="0"/>
            </w:tcBorders>
            <w:noWrap w:val="0"/>
            <w:vAlign w:val="center"/>
          </w:tcPr>
          <w:p w14:paraId="326D902F">
            <w:pPr>
              <w:numPr>
                <w:ilvl w:val="0"/>
                <w:numId w:val="0"/>
              </w:numPr>
              <w:spacing w:line="360" w:lineRule="auto"/>
              <w:jc w:val="center"/>
              <w:rPr>
                <w:rFonts w:hint="default" w:ascii="宋体" w:hAnsi="宋体" w:eastAsia="宋体" w:cs="宋体"/>
                <w:b/>
                <w:bCs/>
                <w:sz w:val="21"/>
                <w:szCs w:val="21"/>
                <w:lang w:val="en-US" w:eastAsia="zh-CN"/>
              </w:rPr>
            </w:pPr>
            <w:r>
              <w:rPr>
                <w:rFonts w:hint="eastAsia" w:ascii="宋体" w:hAnsi="宋体" w:cs="宋体"/>
                <w:b/>
                <w:bCs/>
                <w:sz w:val="21"/>
                <w:szCs w:val="21"/>
                <w:lang w:val="en-US" w:eastAsia="zh-CN"/>
              </w:rPr>
              <w:t>第一讲 人文素养</w:t>
            </w:r>
          </w:p>
          <w:p w14:paraId="36DA4C78">
            <w:pPr>
              <w:numPr>
                <w:ilvl w:val="0"/>
                <w:numId w:val="0"/>
              </w:numPr>
              <w:spacing w:line="360" w:lineRule="auto"/>
              <w:jc w:val="both"/>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一、</w:t>
            </w:r>
            <w:r>
              <w:rPr>
                <w:rFonts w:hint="eastAsia" w:ascii="宋体" w:hAnsi="宋体" w:eastAsia="宋体" w:cs="宋体"/>
                <w:b w:val="0"/>
                <w:bCs w:val="0"/>
                <w:sz w:val="21"/>
                <w:szCs w:val="21"/>
                <w:lang w:val="en-US" w:eastAsia="zh-CN"/>
              </w:rPr>
              <w:t>人文素养的概念</w:t>
            </w:r>
          </w:p>
          <w:p w14:paraId="373A12D8">
            <w:pPr>
              <w:ind w:firstLine="420" w:firstLineChars="200"/>
              <w:jc w:val="both"/>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“人文”一词最早见于《周易·贲卦》，“文明以止，人文也”。它涵盖文学、艺术、哲学等，是社会个体在文化方面表现出的素质与修养，体现为先进的价值观及规范。</w:t>
            </w:r>
          </w:p>
          <w:p w14:paraId="76441E44">
            <w:pPr>
              <w:jc w:val="both"/>
              <w:rPr>
                <w:rFonts w:hint="eastAsia" w:ascii="宋体" w:hAnsi="宋体" w:eastAsia="宋体" w:cs="宋体"/>
                <w:b/>
                <w:bCs/>
                <w:sz w:val="21"/>
                <w:szCs w:val="21"/>
                <w:lang w:val="en-US" w:eastAsia="zh-CN"/>
              </w:rPr>
            </w:pPr>
            <w:r>
              <w:rPr>
                <w:rFonts w:hint="eastAsia" w:ascii="宋体" w:hAnsi="宋体" w:cs="宋体"/>
                <w:color w:val="auto"/>
                <w:sz w:val="21"/>
                <w:szCs w:val="21"/>
                <w:lang w:val="en-US" w:eastAsia="zh-CN"/>
              </w:rPr>
              <w:t xml:space="preserve">   人文是人类在发展创造中沉淀出的丰富文化内容，主要体现在物质、制度和精神三大方面。人文包含文学、社会、艺术哲学等内容。人文素养的多样性体现在不同文化背景、历史时期、社会阶层、个体差异等诸多因素的交织与影响之中。</w:t>
            </w:r>
          </w:p>
          <w:p w14:paraId="0AE75991">
            <w:pPr>
              <w:widowControl w:val="0"/>
              <w:numPr>
                <w:ilvl w:val="0"/>
                <w:numId w:val="0"/>
              </w:numPr>
              <w:spacing w:line="360" w:lineRule="auto"/>
              <w:jc w:val="both"/>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二、人文素养的价值</w:t>
            </w:r>
          </w:p>
          <w:p w14:paraId="18530156">
            <w:pPr>
              <w:widowControl w:val="0"/>
              <w:numPr>
                <w:ilvl w:val="0"/>
                <w:numId w:val="0"/>
              </w:numPr>
              <w:spacing w:line="360" w:lineRule="auto"/>
              <w:jc w:val="both"/>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（一）人文素养的个人价值</w:t>
            </w:r>
          </w:p>
          <w:p w14:paraId="6FD68F67">
            <w:pPr>
              <w:widowControl w:val="0"/>
              <w:numPr>
                <w:ilvl w:val="0"/>
                <w:numId w:val="0"/>
              </w:numPr>
              <w:spacing w:line="360" w:lineRule="auto"/>
              <w:jc w:val="both"/>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1.</w:t>
            </w:r>
            <w:r>
              <w:rPr>
                <w:rFonts w:hint="eastAsia" w:ascii="宋体" w:hAnsi="宋体" w:eastAsia="宋体" w:cs="宋体"/>
                <w:b w:val="0"/>
                <w:bCs w:val="0"/>
                <w:sz w:val="21"/>
                <w:szCs w:val="21"/>
                <w:lang w:val="en-US" w:eastAsia="zh-CN"/>
              </w:rPr>
              <w:t>塑造健全人格</w:t>
            </w:r>
          </w:p>
          <w:p w14:paraId="5706F027">
            <w:pPr>
              <w:widowControl w:val="0"/>
              <w:numPr>
                <w:ilvl w:val="0"/>
                <w:numId w:val="0"/>
              </w:numPr>
              <w:spacing w:line="360" w:lineRule="auto"/>
              <w:jc w:val="both"/>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2.提升审美能力</w:t>
            </w:r>
          </w:p>
          <w:p w14:paraId="511B5CEB">
            <w:pPr>
              <w:widowControl w:val="0"/>
              <w:numPr>
                <w:ilvl w:val="0"/>
                <w:numId w:val="0"/>
              </w:numPr>
              <w:spacing w:line="360" w:lineRule="auto"/>
              <w:jc w:val="both"/>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3.</w:t>
            </w:r>
            <w:r>
              <w:rPr>
                <w:rFonts w:hint="default" w:ascii="宋体" w:hAnsi="宋体" w:cs="宋体"/>
                <w:b w:val="0"/>
                <w:bCs w:val="0"/>
                <w:sz w:val="21"/>
                <w:szCs w:val="21"/>
                <w:lang w:val="en-US" w:eastAsia="zh-CN"/>
              </w:rPr>
              <w:t>丰富</w:t>
            </w:r>
            <w:r>
              <w:rPr>
                <w:rFonts w:hint="eastAsia" w:ascii="宋体" w:hAnsi="宋体" w:cs="宋体"/>
                <w:b w:val="0"/>
                <w:bCs w:val="0"/>
                <w:sz w:val="21"/>
                <w:szCs w:val="21"/>
                <w:lang w:val="en-US" w:eastAsia="zh-CN"/>
              </w:rPr>
              <w:t>精神世界</w:t>
            </w:r>
          </w:p>
          <w:p w14:paraId="12C3EFE5">
            <w:pPr>
              <w:widowControl w:val="0"/>
              <w:numPr>
                <w:ilvl w:val="0"/>
                <w:numId w:val="0"/>
              </w:numPr>
              <w:spacing w:line="360" w:lineRule="auto"/>
              <w:jc w:val="both"/>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（二）人文素养的社会价值</w:t>
            </w:r>
          </w:p>
          <w:p w14:paraId="0B7D5952">
            <w:pPr>
              <w:widowControl w:val="0"/>
              <w:numPr>
                <w:ilvl w:val="0"/>
                <w:numId w:val="0"/>
              </w:numPr>
              <w:spacing w:line="360" w:lineRule="auto"/>
              <w:jc w:val="both"/>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1.</w:t>
            </w:r>
            <w:r>
              <w:rPr>
                <w:rFonts w:hint="eastAsia" w:ascii="宋体" w:hAnsi="宋体" w:eastAsia="宋体" w:cs="宋体"/>
                <w:b w:val="0"/>
                <w:bCs w:val="0"/>
                <w:sz w:val="21"/>
                <w:szCs w:val="21"/>
                <w:lang w:val="en-US" w:eastAsia="zh-CN"/>
              </w:rPr>
              <w:t>推动文化传承</w:t>
            </w:r>
          </w:p>
          <w:p w14:paraId="17019EA2">
            <w:pPr>
              <w:widowControl w:val="0"/>
              <w:numPr>
                <w:ilvl w:val="0"/>
                <w:numId w:val="0"/>
              </w:numPr>
              <w:spacing w:line="360" w:lineRule="auto"/>
              <w:jc w:val="both"/>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2.</w:t>
            </w:r>
            <w:r>
              <w:rPr>
                <w:rFonts w:hint="eastAsia" w:ascii="宋体" w:hAnsi="宋体" w:eastAsia="宋体" w:cs="宋体"/>
                <w:b w:val="0"/>
                <w:bCs w:val="0"/>
                <w:sz w:val="21"/>
                <w:szCs w:val="21"/>
                <w:lang w:val="en-US" w:eastAsia="zh-CN"/>
              </w:rPr>
              <w:t>促进社会和谐</w:t>
            </w:r>
          </w:p>
          <w:p w14:paraId="6FEED668">
            <w:pPr>
              <w:widowControl w:val="0"/>
              <w:numPr>
                <w:ilvl w:val="0"/>
                <w:numId w:val="0"/>
              </w:numPr>
              <w:spacing w:line="360" w:lineRule="auto"/>
              <w:jc w:val="both"/>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3.</w:t>
            </w:r>
            <w:r>
              <w:rPr>
                <w:rFonts w:hint="eastAsia" w:ascii="宋体" w:hAnsi="宋体" w:eastAsia="宋体" w:cs="宋体"/>
                <w:b w:val="0"/>
                <w:bCs w:val="0"/>
                <w:sz w:val="21"/>
                <w:szCs w:val="21"/>
                <w:lang w:val="en-US" w:eastAsia="zh-CN"/>
              </w:rPr>
              <w:t>推动社会进步</w:t>
            </w:r>
          </w:p>
          <w:p w14:paraId="1B13FF40">
            <w:pPr>
              <w:widowControl w:val="0"/>
              <w:numPr>
                <w:ilvl w:val="0"/>
                <w:numId w:val="0"/>
              </w:numPr>
              <w:spacing w:line="360" w:lineRule="auto"/>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第二讲  职业操守</w:t>
            </w:r>
          </w:p>
          <w:p w14:paraId="117C31A5">
            <w:pPr>
              <w:widowControl w:val="0"/>
              <w:numPr>
                <w:ilvl w:val="0"/>
                <w:numId w:val="0"/>
              </w:numPr>
              <w:spacing w:line="360" w:lineRule="auto"/>
              <w:jc w:val="both"/>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（一）职业操守的内涵</w:t>
            </w:r>
          </w:p>
          <w:p w14:paraId="4AA25D4B">
            <w:pPr>
              <w:widowControl w:val="0"/>
              <w:numPr>
                <w:ilvl w:val="0"/>
                <w:numId w:val="0"/>
              </w:numPr>
              <w:spacing w:line="360" w:lineRule="auto"/>
              <w:jc w:val="both"/>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职业操守是指在职业活动中应当遵循的道德准则和行为规范，涵盖诚实守信、敬业负责、公平公正、尊重他人、遵守法律法规等诸多方面。</w:t>
            </w:r>
          </w:p>
          <w:p w14:paraId="28E91E93">
            <w:pPr>
              <w:widowControl w:val="0"/>
              <w:numPr>
                <w:ilvl w:val="0"/>
                <w:numId w:val="0"/>
              </w:numPr>
              <w:spacing w:line="360" w:lineRule="auto"/>
              <w:jc w:val="both"/>
              <w:rPr>
                <w:rFonts w:hint="eastAsia" w:ascii="宋体" w:hAnsi="宋体" w:eastAsia="宋体" w:cs="宋体"/>
                <w:b w:val="0"/>
                <w:bCs w:val="0"/>
                <w:sz w:val="21"/>
                <w:szCs w:val="21"/>
                <w:lang w:val="en-US" w:eastAsia="zh-CN"/>
              </w:rPr>
            </w:pPr>
          </w:p>
          <w:p w14:paraId="77874195">
            <w:pPr>
              <w:widowControl w:val="0"/>
              <w:numPr>
                <w:ilvl w:val="0"/>
                <w:numId w:val="0"/>
              </w:numPr>
              <w:spacing w:line="360" w:lineRule="auto"/>
              <w:jc w:val="both"/>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w:t>
            </w:r>
            <w:r>
              <w:rPr>
                <w:rFonts w:hint="eastAsia" w:ascii="宋体" w:hAnsi="宋体" w:eastAsia="宋体" w:cs="宋体"/>
                <w:b w:val="0"/>
                <w:bCs w:val="0"/>
                <w:sz w:val="21"/>
                <w:szCs w:val="21"/>
                <w:lang w:val="en-US" w:eastAsia="zh-CN"/>
              </w:rPr>
              <w:t>二）职业操守的主要内容</w:t>
            </w:r>
          </w:p>
          <w:p w14:paraId="4B8F28F8">
            <w:pPr>
              <w:widowControl w:val="0"/>
              <w:numPr>
                <w:ilvl w:val="0"/>
                <w:numId w:val="0"/>
              </w:numPr>
              <w:spacing w:line="360" w:lineRule="auto"/>
              <w:jc w:val="both"/>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1.诚实守信：诚实守信是职业操守的核心原则之一</w:t>
            </w:r>
          </w:p>
          <w:p w14:paraId="67ADD4BD">
            <w:pPr>
              <w:widowControl w:val="0"/>
              <w:numPr>
                <w:ilvl w:val="0"/>
                <w:numId w:val="0"/>
              </w:numPr>
              <w:spacing w:line="360" w:lineRule="auto"/>
              <w:jc w:val="both"/>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2.敬业负责：敬业负责是职业操守的重要体现</w:t>
            </w:r>
          </w:p>
          <w:p w14:paraId="34CD54D7">
            <w:pPr>
              <w:widowControl w:val="0"/>
              <w:numPr>
                <w:ilvl w:val="0"/>
                <w:numId w:val="0"/>
              </w:numPr>
              <w:spacing w:line="360" w:lineRule="auto"/>
              <w:jc w:val="both"/>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3.公平公正：公平公正是职业操守的重要准则</w:t>
            </w:r>
          </w:p>
          <w:p w14:paraId="08065B08">
            <w:pPr>
              <w:widowControl w:val="0"/>
              <w:numPr>
                <w:ilvl w:val="0"/>
                <w:numId w:val="0"/>
              </w:numPr>
              <w:spacing w:line="360" w:lineRule="auto"/>
              <w:jc w:val="both"/>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4.尊重他人：尊重他人是职业操守的基本要求</w:t>
            </w:r>
          </w:p>
          <w:p w14:paraId="1965214A">
            <w:pPr>
              <w:widowControl w:val="0"/>
              <w:numPr>
                <w:ilvl w:val="0"/>
                <w:numId w:val="0"/>
              </w:numPr>
              <w:spacing w:line="360" w:lineRule="auto"/>
              <w:jc w:val="both"/>
              <w:rPr>
                <w:rFonts w:hint="default" w:ascii="宋体" w:hAnsi="宋体" w:cs="宋体"/>
                <w:b w:val="0"/>
                <w:bCs w:val="0"/>
                <w:sz w:val="21"/>
                <w:szCs w:val="21"/>
                <w:lang w:val="en-US" w:eastAsia="zh-CN"/>
              </w:rPr>
            </w:pPr>
            <w:r>
              <w:rPr>
                <w:rFonts w:hint="eastAsia" w:ascii="宋体" w:hAnsi="宋体" w:cs="宋体"/>
                <w:b w:val="0"/>
                <w:bCs w:val="0"/>
                <w:sz w:val="21"/>
                <w:szCs w:val="21"/>
                <w:lang w:val="en-US" w:eastAsia="zh-CN"/>
              </w:rPr>
              <w:t>5.遵守法律规则：遵守法律法规是职业操守的底线要求</w:t>
            </w:r>
          </w:p>
          <w:p w14:paraId="372675B4">
            <w:pPr>
              <w:widowControl w:val="0"/>
              <w:numPr>
                <w:ilvl w:val="0"/>
                <w:numId w:val="0"/>
              </w:numPr>
              <w:spacing w:line="360" w:lineRule="auto"/>
              <w:jc w:val="both"/>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二、职业操守的价</w:t>
            </w:r>
          </w:p>
          <w:p w14:paraId="2D489330">
            <w:pPr>
              <w:widowControl w:val="0"/>
              <w:numPr>
                <w:ilvl w:val="0"/>
                <w:numId w:val="0"/>
              </w:numPr>
              <w:spacing w:line="360" w:lineRule="auto"/>
              <w:jc w:val="both"/>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（一）职业操守的个人价值</w:t>
            </w:r>
          </w:p>
          <w:p w14:paraId="2CAA43FE">
            <w:pPr>
              <w:widowControl w:val="0"/>
              <w:numPr>
                <w:ilvl w:val="0"/>
                <w:numId w:val="0"/>
              </w:numPr>
              <w:spacing w:line="360" w:lineRule="auto"/>
              <w:jc w:val="both"/>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1.</w:t>
            </w:r>
            <w:r>
              <w:rPr>
                <w:rFonts w:hint="eastAsia" w:ascii="宋体" w:hAnsi="宋体" w:eastAsia="宋体" w:cs="宋体"/>
                <w:b w:val="0"/>
                <w:bCs w:val="0"/>
                <w:sz w:val="21"/>
                <w:szCs w:val="21"/>
                <w:lang w:val="en-US" w:eastAsia="zh-CN"/>
              </w:rPr>
              <w:t>个人职业发展基石</w:t>
            </w:r>
          </w:p>
          <w:p w14:paraId="50645A3E">
            <w:pPr>
              <w:widowControl w:val="0"/>
              <w:numPr>
                <w:ilvl w:val="0"/>
                <w:numId w:val="0"/>
              </w:numPr>
              <w:spacing w:line="360" w:lineRule="auto"/>
              <w:jc w:val="both"/>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2.</w:t>
            </w:r>
            <w:r>
              <w:rPr>
                <w:rFonts w:hint="eastAsia" w:ascii="宋体" w:hAnsi="宋体" w:eastAsia="宋体" w:cs="宋体"/>
                <w:b w:val="0"/>
                <w:bCs w:val="0"/>
                <w:sz w:val="21"/>
                <w:szCs w:val="21"/>
                <w:lang w:val="en-US" w:eastAsia="zh-CN"/>
              </w:rPr>
              <w:t>提升个人道德修养</w:t>
            </w:r>
          </w:p>
          <w:p w14:paraId="1E2E9D35">
            <w:pPr>
              <w:widowControl w:val="0"/>
              <w:numPr>
                <w:ilvl w:val="0"/>
                <w:numId w:val="0"/>
              </w:numPr>
              <w:spacing w:line="360" w:lineRule="auto"/>
              <w:jc w:val="both"/>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3.</w:t>
            </w:r>
            <w:r>
              <w:rPr>
                <w:rFonts w:hint="eastAsia" w:ascii="宋体" w:hAnsi="宋体" w:eastAsia="宋体" w:cs="宋体"/>
                <w:b w:val="0"/>
                <w:bCs w:val="0"/>
                <w:sz w:val="21"/>
                <w:szCs w:val="21"/>
                <w:lang w:val="en-US" w:eastAsia="zh-CN"/>
              </w:rPr>
              <w:t>增强个人竞争力</w:t>
            </w:r>
          </w:p>
          <w:p w14:paraId="33EB322B">
            <w:pPr>
              <w:widowControl w:val="0"/>
              <w:numPr>
                <w:ilvl w:val="0"/>
                <w:numId w:val="0"/>
              </w:numPr>
              <w:spacing w:line="360" w:lineRule="auto"/>
              <w:jc w:val="both"/>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w:t>
            </w:r>
            <w:r>
              <w:rPr>
                <w:rFonts w:hint="eastAsia" w:ascii="宋体" w:hAnsi="宋体" w:eastAsia="宋体" w:cs="宋体"/>
                <w:b w:val="0"/>
                <w:bCs w:val="0"/>
                <w:sz w:val="21"/>
                <w:szCs w:val="21"/>
                <w:lang w:val="en-US" w:eastAsia="zh-CN"/>
              </w:rPr>
              <w:t>二）职业操守的社会价值</w:t>
            </w:r>
          </w:p>
          <w:p w14:paraId="4F41CF02">
            <w:pPr>
              <w:widowControl w:val="0"/>
              <w:numPr>
                <w:ilvl w:val="0"/>
                <w:numId w:val="0"/>
              </w:numPr>
              <w:spacing w:line="360" w:lineRule="auto"/>
              <w:jc w:val="both"/>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1.</w:t>
            </w:r>
            <w:r>
              <w:rPr>
                <w:rFonts w:hint="eastAsia" w:ascii="宋体" w:hAnsi="宋体" w:eastAsia="宋体" w:cs="宋体"/>
                <w:b w:val="0"/>
                <w:bCs w:val="0"/>
                <w:sz w:val="21"/>
                <w:szCs w:val="21"/>
                <w:lang w:val="en-US" w:eastAsia="zh-CN"/>
              </w:rPr>
              <w:t>职业操守是社会信任的基石</w:t>
            </w:r>
          </w:p>
          <w:p w14:paraId="70E8C2A0">
            <w:pPr>
              <w:widowControl w:val="0"/>
              <w:numPr>
                <w:ilvl w:val="0"/>
                <w:numId w:val="0"/>
              </w:numPr>
              <w:spacing w:line="360" w:lineRule="auto"/>
              <w:jc w:val="both"/>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2.</w:t>
            </w:r>
            <w:r>
              <w:rPr>
                <w:rFonts w:hint="eastAsia" w:ascii="宋体" w:hAnsi="宋体" w:eastAsia="宋体" w:cs="宋体"/>
                <w:b w:val="0"/>
                <w:bCs w:val="0"/>
                <w:sz w:val="21"/>
                <w:szCs w:val="21"/>
                <w:lang w:val="en-US" w:eastAsia="zh-CN"/>
              </w:rPr>
              <w:t>职业操守促进社会公平正义</w:t>
            </w:r>
          </w:p>
          <w:p w14:paraId="743BCA3F">
            <w:pPr>
              <w:widowControl w:val="0"/>
              <w:numPr>
                <w:ilvl w:val="0"/>
                <w:numId w:val="0"/>
              </w:numPr>
              <w:spacing w:line="360" w:lineRule="auto"/>
              <w:jc w:val="both"/>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3.</w:t>
            </w:r>
            <w:r>
              <w:rPr>
                <w:rFonts w:hint="eastAsia" w:ascii="宋体" w:hAnsi="宋体" w:eastAsia="宋体" w:cs="宋体"/>
                <w:b w:val="0"/>
                <w:bCs w:val="0"/>
                <w:sz w:val="21"/>
                <w:szCs w:val="21"/>
                <w:lang w:val="en-US" w:eastAsia="zh-CN"/>
              </w:rPr>
              <w:t>职业操守推动社会经济发展</w:t>
            </w:r>
          </w:p>
          <w:p w14:paraId="6CBB40AF">
            <w:pPr>
              <w:widowControl w:val="0"/>
              <w:numPr>
                <w:ilvl w:val="0"/>
                <w:numId w:val="0"/>
              </w:numPr>
              <w:spacing w:line="360" w:lineRule="auto"/>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第三讲  人文素养与职业操守的培养</w:t>
            </w:r>
          </w:p>
          <w:p w14:paraId="09B3F5FF">
            <w:pPr>
              <w:widowControl w:val="0"/>
              <w:numPr>
                <w:ilvl w:val="0"/>
                <w:numId w:val="0"/>
              </w:numPr>
              <w:spacing w:line="360" w:lineRule="auto"/>
              <w:jc w:val="both"/>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一、人文素养培养策略</w:t>
            </w:r>
          </w:p>
          <w:p w14:paraId="10871763">
            <w:pPr>
              <w:widowControl w:val="0"/>
              <w:numPr>
                <w:ilvl w:val="0"/>
                <w:numId w:val="0"/>
              </w:numPr>
              <w:spacing w:line="360" w:lineRule="auto"/>
              <w:jc w:val="both"/>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1.</w:t>
            </w:r>
            <w:r>
              <w:rPr>
                <w:rFonts w:hint="eastAsia" w:ascii="宋体" w:hAnsi="宋体" w:eastAsia="宋体" w:cs="宋体"/>
                <w:b w:val="0"/>
                <w:bCs w:val="0"/>
                <w:sz w:val="21"/>
                <w:szCs w:val="21"/>
                <w:lang w:val="en-US" w:eastAsia="zh-CN"/>
              </w:rPr>
              <w:t>阅读中华优秀传统文化经典、世界经典文学作品，提升个人的道德修养和文化认同感。</w:t>
            </w:r>
          </w:p>
          <w:p w14:paraId="756E8432">
            <w:pPr>
              <w:widowControl w:val="0"/>
              <w:numPr>
                <w:ilvl w:val="0"/>
                <w:numId w:val="0"/>
              </w:numPr>
              <w:spacing w:line="360" w:lineRule="auto"/>
              <w:jc w:val="both"/>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2.</w:t>
            </w:r>
            <w:r>
              <w:rPr>
                <w:rFonts w:hint="eastAsia" w:ascii="宋体" w:hAnsi="宋体" w:eastAsia="宋体" w:cs="宋体"/>
                <w:b w:val="0"/>
                <w:bCs w:val="0"/>
                <w:sz w:val="21"/>
                <w:szCs w:val="21"/>
                <w:lang w:val="en-US" w:eastAsia="zh-CN"/>
              </w:rPr>
              <w:t>学习中国历史、了解国家发展成就、参与爱国主义教育活动，培养集体主义精神，增强团队意识和社会责任感，培养合作精神和奉献精神。</w:t>
            </w:r>
          </w:p>
          <w:p w14:paraId="12B90398">
            <w:pPr>
              <w:widowControl w:val="0"/>
              <w:numPr>
                <w:ilvl w:val="0"/>
                <w:numId w:val="0"/>
              </w:numPr>
              <w:spacing w:line="360" w:lineRule="auto"/>
              <w:jc w:val="both"/>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3.勇于承担个人责任，锤炼意志品质，提升个人的综合素质，积极参与社会实践。</w:t>
            </w:r>
          </w:p>
          <w:p w14:paraId="23E2C1F6">
            <w:pPr>
              <w:widowControl w:val="0"/>
              <w:numPr>
                <w:ilvl w:val="0"/>
                <w:numId w:val="0"/>
              </w:numPr>
              <w:spacing w:line="360" w:lineRule="auto"/>
              <w:jc w:val="both"/>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二、职业操守培养策略</w:t>
            </w:r>
          </w:p>
          <w:p w14:paraId="3E04B0EE">
            <w:pPr>
              <w:spacing w:line="360" w:lineRule="auto"/>
              <w:jc w:val="both"/>
              <w:rPr>
                <w:rFonts w:hint="eastAsia" w:ascii="宋体" w:hAnsi="宋体" w:eastAsia="宋体" w:cs="宋体"/>
                <w:sz w:val="21"/>
                <w:szCs w:val="21"/>
                <w:lang w:val="en-US" w:eastAsia="zh-CN"/>
              </w:rPr>
            </w:pPr>
            <w:r>
              <w:rPr>
                <w:rFonts w:hint="eastAsia" w:ascii="宋体" w:hAnsi="宋体" w:cs="宋体"/>
                <w:sz w:val="21"/>
                <w:szCs w:val="21"/>
                <w:lang w:val="en-US" w:eastAsia="zh-CN"/>
              </w:rPr>
              <w:t>1.</w:t>
            </w:r>
            <w:r>
              <w:rPr>
                <w:rFonts w:hint="eastAsia" w:ascii="宋体" w:hAnsi="宋体" w:eastAsia="宋体" w:cs="宋体"/>
                <w:sz w:val="21"/>
                <w:szCs w:val="21"/>
                <w:lang w:val="en-US" w:eastAsia="zh-CN"/>
              </w:rPr>
              <w:t>认识团队合作的重要性、培养团队合作精神、提升团队合作能力。</w:t>
            </w:r>
          </w:p>
          <w:p w14:paraId="0A8D341F">
            <w:pPr>
              <w:spacing w:line="360" w:lineRule="auto"/>
              <w:jc w:val="both"/>
              <w:rPr>
                <w:rFonts w:hint="eastAsia" w:ascii="宋体" w:hAnsi="宋体" w:eastAsia="宋体" w:cs="宋体"/>
                <w:sz w:val="21"/>
                <w:szCs w:val="21"/>
                <w:lang w:val="en-US" w:eastAsia="zh-CN"/>
              </w:rPr>
            </w:pPr>
            <w:r>
              <w:rPr>
                <w:rFonts w:hint="eastAsia" w:ascii="宋体" w:hAnsi="宋体" w:cs="宋体"/>
                <w:sz w:val="21"/>
                <w:szCs w:val="21"/>
                <w:lang w:val="en-US" w:eastAsia="zh-CN"/>
              </w:rPr>
              <w:t>2.</w:t>
            </w:r>
            <w:r>
              <w:rPr>
                <w:rFonts w:hint="eastAsia" w:ascii="宋体" w:hAnsi="宋体" w:eastAsia="宋体" w:cs="宋体"/>
                <w:sz w:val="21"/>
                <w:szCs w:val="21"/>
                <w:lang w:val="en-US" w:eastAsia="zh-CN"/>
              </w:rPr>
              <w:t>确认识冲突、冲突管理策略、沟通协调技巧。</w:t>
            </w:r>
          </w:p>
          <w:p w14:paraId="711D7F72">
            <w:pPr>
              <w:spacing w:line="360" w:lineRule="auto"/>
              <w:jc w:val="both"/>
              <w:rPr>
                <w:rFonts w:hint="eastAsia" w:ascii="宋体" w:hAnsi="宋体" w:cs="宋体"/>
                <w:sz w:val="21"/>
                <w:szCs w:val="21"/>
                <w:lang w:val="en-US" w:eastAsia="zh-CN"/>
              </w:rPr>
            </w:pPr>
            <w:r>
              <w:rPr>
                <w:rFonts w:hint="eastAsia" w:ascii="宋体" w:hAnsi="宋体" w:cs="宋体"/>
                <w:sz w:val="21"/>
                <w:szCs w:val="21"/>
                <w:lang w:val="en-US" w:eastAsia="zh-CN"/>
              </w:rPr>
              <w:t>3.增强团队合作意识</w:t>
            </w:r>
          </w:p>
          <w:p w14:paraId="1F1F0734">
            <w:pPr>
              <w:spacing w:line="360" w:lineRule="auto"/>
              <w:jc w:val="both"/>
              <w:rPr>
                <w:rFonts w:hint="default" w:ascii="宋体" w:hAnsi="宋体" w:cs="宋体"/>
                <w:sz w:val="21"/>
                <w:szCs w:val="21"/>
                <w:lang w:val="en-US" w:eastAsia="zh-CN"/>
              </w:rPr>
            </w:pPr>
            <w:r>
              <w:rPr>
                <w:rFonts w:hint="eastAsia" w:ascii="宋体" w:hAnsi="宋体" w:cs="宋体"/>
                <w:sz w:val="21"/>
                <w:szCs w:val="21"/>
                <w:lang w:val="en-US" w:eastAsia="zh-CN"/>
              </w:rPr>
              <w:t>4.冲突管理与沟通协调</w:t>
            </w:r>
          </w:p>
        </w:tc>
        <w:tc>
          <w:tcPr>
            <w:tcW w:w="1350" w:type="dxa"/>
            <w:tcBorders>
              <w:left w:val="single" w:color="000000" w:sz="4" w:space="0"/>
            </w:tcBorders>
            <w:noWrap w:val="0"/>
            <w:vAlign w:val="center"/>
          </w:tcPr>
          <w:p w14:paraId="3AC1091D">
            <w:pPr>
              <w:spacing w:line="360" w:lineRule="auto"/>
              <w:jc w:val="left"/>
              <w:rPr>
                <w:rFonts w:hint="eastAsia" w:ascii="宋体" w:hAnsi="宋体" w:eastAsia="宋体" w:cs="宋体"/>
                <w:sz w:val="21"/>
                <w:szCs w:val="21"/>
                <w:lang w:val="en-US" w:eastAsia="zh-CN"/>
              </w:rPr>
            </w:pPr>
          </w:p>
          <w:p w14:paraId="3B8D24E2">
            <w:pPr>
              <w:spacing w:line="360" w:lineRule="auto"/>
              <w:jc w:val="left"/>
              <w:rPr>
                <w:rFonts w:hint="eastAsia" w:ascii="宋体" w:hAnsi="宋体" w:eastAsia="宋体" w:cs="宋体"/>
                <w:sz w:val="21"/>
                <w:szCs w:val="21"/>
                <w:lang w:val="en-US" w:eastAsia="zh-CN"/>
              </w:rPr>
            </w:pPr>
          </w:p>
          <w:p w14:paraId="59694889">
            <w:pPr>
              <w:spacing w:line="360" w:lineRule="auto"/>
              <w:jc w:val="left"/>
              <w:rPr>
                <w:rFonts w:hint="eastAsia" w:ascii="宋体" w:hAnsi="宋体" w:eastAsia="宋体" w:cs="宋体"/>
                <w:sz w:val="21"/>
                <w:szCs w:val="21"/>
                <w:lang w:val="en-US" w:eastAsia="zh-CN"/>
              </w:rPr>
            </w:pPr>
          </w:p>
          <w:p w14:paraId="5BB3C0F3">
            <w:pPr>
              <w:spacing w:line="360" w:lineRule="auto"/>
              <w:jc w:val="left"/>
              <w:rPr>
                <w:rFonts w:hint="eastAsia" w:ascii="宋体" w:hAnsi="宋体" w:eastAsia="宋体" w:cs="宋体"/>
                <w:sz w:val="21"/>
                <w:szCs w:val="21"/>
                <w:lang w:val="en-US" w:eastAsia="zh-CN"/>
              </w:rPr>
            </w:pPr>
          </w:p>
          <w:p w14:paraId="6C538DA5">
            <w:pPr>
              <w:spacing w:line="360" w:lineRule="auto"/>
              <w:jc w:val="left"/>
              <w:rPr>
                <w:rFonts w:hint="eastAsia" w:ascii="宋体" w:hAnsi="宋体" w:eastAsia="宋体" w:cs="宋体"/>
                <w:sz w:val="21"/>
                <w:szCs w:val="21"/>
                <w:lang w:val="en-US" w:eastAsia="zh-CN"/>
              </w:rPr>
            </w:pPr>
          </w:p>
          <w:p w14:paraId="7E198536">
            <w:pPr>
              <w:spacing w:line="360" w:lineRule="auto"/>
              <w:jc w:val="left"/>
              <w:rPr>
                <w:rFonts w:hint="eastAsia" w:ascii="宋体" w:hAnsi="宋体" w:eastAsia="宋体" w:cs="宋体"/>
                <w:sz w:val="21"/>
                <w:szCs w:val="21"/>
                <w:lang w:val="en-US" w:eastAsia="zh-CN"/>
              </w:rPr>
            </w:pPr>
          </w:p>
          <w:p w14:paraId="4400DB68">
            <w:pPr>
              <w:spacing w:line="360" w:lineRule="auto"/>
              <w:jc w:val="left"/>
              <w:rPr>
                <w:rFonts w:hint="eastAsia" w:ascii="宋体" w:hAnsi="宋体" w:eastAsia="宋体" w:cs="宋体"/>
                <w:sz w:val="21"/>
                <w:szCs w:val="21"/>
                <w:lang w:val="en-US" w:eastAsia="zh-CN"/>
              </w:rPr>
            </w:pPr>
          </w:p>
          <w:p w14:paraId="3064C414">
            <w:pPr>
              <w:spacing w:line="360" w:lineRule="auto"/>
              <w:jc w:val="left"/>
              <w:rPr>
                <w:rFonts w:hint="eastAsia" w:ascii="宋体" w:hAnsi="宋体" w:eastAsia="宋体" w:cs="宋体"/>
                <w:sz w:val="21"/>
                <w:szCs w:val="21"/>
                <w:lang w:val="en-US" w:eastAsia="zh-CN"/>
              </w:rPr>
            </w:pPr>
          </w:p>
          <w:p w14:paraId="73DA0DBC">
            <w:pPr>
              <w:spacing w:line="360" w:lineRule="auto"/>
              <w:jc w:val="left"/>
              <w:rPr>
                <w:rFonts w:hint="eastAsia" w:ascii="宋体" w:hAnsi="宋体" w:eastAsia="宋体" w:cs="宋体"/>
                <w:sz w:val="21"/>
                <w:szCs w:val="21"/>
                <w:lang w:val="en-US" w:eastAsia="zh-CN"/>
              </w:rPr>
            </w:pPr>
          </w:p>
          <w:p w14:paraId="7A84C190">
            <w:pPr>
              <w:spacing w:line="360" w:lineRule="auto"/>
              <w:jc w:val="left"/>
              <w:rPr>
                <w:rFonts w:hint="eastAsia" w:ascii="宋体" w:hAnsi="宋体" w:eastAsia="宋体" w:cs="宋体"/>
                <w:sz w:val="21"/>
                <w:szCs w:val="21"/>
                <w:lang w:val="en-US" w:eastAsia="zh-CN"/>
              </w:rPr>
            </w:pPr>
          </w:p>
          <w:p w14:paraId="7BFE14DB">
            <w:pPr>
              <w:spacing w:line="360" w:lineRule="auto"/>
              <w:jc w:val="left"/>
              <w:rPr>
                <w:rFonts w:hint="eastAsia" w:ascii="宋体" w:hAnsi="宋体" w:eastAsia="宋体" w:cs="宋体"/>
                <w:sz w:val="21"/>
                <w:szCs w:val="21"/>
                <w:lang w:val="en-US" w:eastAsia="zh-CN"/>
              </w:rPr>
            </w:pPr>
          </w:p>
          <w:p w14:paraId="546698BB">
            <w:pPr>
              <w:spacing w:line="360" w:lineRule="auto"/>
              <w:jc w:val="left"/>
              <w:rPr>
                <w:rFonts w:hint="eastAsia" w:ascii="宋体" w:hAnsi="宋体" w:eastAsia="宋体" w:cs="宋体"/>
                <w:sz w:val="21"/>
                <w:szCs w:val="21"/>
                <w:lang w:val="en-US" w:eastAsia="zh-CN"/>
              </w:rPr>
            </w:pPr>
          </w:p>
          <w:p w14:paraId="454C792C">
            <w:pPr>
              <w:spacing w:line="360" w:lineRule="auto"/>
              <w:jc w:val="left"/>
              <w:rPr>
                <w:rFonts w:hint="eastAsia" w:ascii="宋体" w:hAnsi="宋体" w:eastAsia="宋体" w:cs="宋体"/>
                <w:sz w:val="21"/>
                <w:szCs w:val="21"/>
                <w:lang w:val="en-US" w:eastAsia="zh-CN"/>
              </w:rPr>
            </w:pPr>
          </w:p>
          <w:p w14:paraId="64912E09">
            <w:pPr>
              <w:spacing w:line="360" w:lineRule="auto"/>
              <w:jc w:val="left"/>
              <w:rPr>
                <w:rFonts w:hint="eastAsia" w:ascii="宋体" w:hAnsi="宋体" w:eastAsia="宋体" w:cs="宋体"/>
                <w:sz w:val="21"/>
                <w:szCs w:val="21"/>
                <w:lang w:val="en-US" w:eastAsia="zh-CN"/>
              </w:rPr>
            </w:pPr>
          </w:p>
          <w:p w14:paraId="1FDDB3FB">
            <w:pPr>
              <w:spacing w:line="360" w:lineRule="auto"/>
              <w:jc w:val="left"/>
              <w:rPr>
                <w:rFonts w:hint="eastAsia" w:ascii="宋体" w:hAnsi="宋体" w:eastAsia="宋体" w:cs="宋体"/>
                <w:sz w:val="21"/>
                <w:szCs w:val="21"/>
                <w:lang w:val="en-US" w:eastAsia="zh-CN"/>
              </w:rPr>
            </w:pPr>
          </w:p>
          <w:p w14:paraId="6E2EDBF8">
            <w:pPr>
              <w:spacing w:line="360" w:lineRule="auto"/>
              <w:jc w:val="left"/>
              <w:rPr>
                <w:rFonts w:hint="eastAsia" w:ascii="宋体" w:hAnsi="宋体" w:eastAsia="宋体" w:cs="宋体"/>
                <w:sz w:val="21"/>
                <w:szCs w:val="21"/>
                <w:lang w:val="en-US" w:eastAsia="zh-CN"/>
              </w:rPr>
            </w:pPr>
          </w:p>
          <w:p w14:paraId="56FCCC92">
            <w:pPr>
              <w:spacing w:line="360" w:lineRule="auto"/>
              <w:jc w:val="left"/>
              <w:rPr>
                <w:rFonts w:hint="eastAsia" w:ascii="宋体" w:hAnsi="宋体" w:eastAsia="宋体" w:cs="宋体"/>
                <w:sz w:val="21"/>
                <w:szCs w:val="21"/>
                <w:lang w:val="en-US" w:eastAsia="zh-CN"/>
              </w:rPr>
            </w:pPr>
          </w:p>
          <w:p w14:paraId="35FC8D4F">
            <w:pPr>
              <w:spacing w:line="360" w:lineRule="auto"/>
              <w:jc w:val="left"/>
              <w:rPr>
                <w:rFonts w:hint="eastAsia" w:ascii="宋体" w:hAnsi="宋体" w:eastAsia="宋体" w:cs="宋体"/>
                <w:sz w:val="21"/>
                <w:szCs w:val="21"/>
                <w:lang w:val="en-US" w:eastAsia="zh-CN"/>
              </w:rPr>
            </w:pPr>
          </w:p>
          <w:p w14:paraId="11801BB6">
            <w:pPr>
              <w:spacing w:line="360" w:lineRule="auto"/>
              <w:jc w:val="left"/>
              <w:rPr>
                <w:rFonts w:hint="eastAsia" w:ascii="宋体" w:hAnsi="宋体" w:eastAsia="宋体" w:cs="宋体"/>
                <w:sz w:val="21"/>
                <w:szCs w:val="21"/>
                <w:lang w:val="en-US" w:eastAsia="zh-CN"/>
              </w:rPr>
            </w:pPr>
          </w:p>
          <w:p w14:paraId="26ACA1B8">
            <w:pPr>
              <w:spacing w:line="360" w:lineRule="auto"/>
              <w:jc w:val="left"/>
              <w:rPr>
                <w:rFonts w:hint="eastAsia" w:ascii="宋体" w:hAnsi="宋体" w:eastAsia="宋体" w:cs="宋体"/>
                <w:sz w:val="21"/>
                <w:szCs w:val="21"/>
                <w:lang w:val="en-US" w:eastAsia="zh-CN"/>
              </w:rPr>
            </w:pPr>
          </w:p>
          <w:p w14:paraId="310A2655">
            <w:pPr>
              <w:spacing w:line="360" w:lineRule="auto"/>
              <w:jc w:val="left"/>
              <w:rPr>
                <w:rFonts w:hint="eastAsia" w:ascii="宋体" w:hAnsi="宋体" w:eastAsia="宋体" w:cs="宋体"/>
                <w:sz w:val="21"/>
                <w:szCs w:val="21"/>
                <w:lang w:val="en-US" w:eastAsia="zh-CN"/>
              </w:rPr>
            </w:pPr>
            <w:bookmarkStart w:id="0" w:name="_GoBack"/>
            <w:bookmarkEnd w:id="0"/>
          </w:p>
          <w:p w14:paraId="2377C1BD">
            <w:pPr>
              <w:spacing w:line="360" w:lineRule="auto"/>
              <w:jc w:val="both"/>
              <w:rPr>
                <w:rFonts w:hint="default" w:ascii="宋体" w:hAnsi="宋体" w:eastAsia="宋体" w:cs="宋体"/>
                <w:sz w:val="21"/>
                <w:szCs w:val="21"/>
                <w:lang w:val="en-US" w:eastAsia="zh-CN"/>
              </w:rPr>
            </w:pPr>
            <w:r>
              <w:rPr>
                <w:rFonts w:hint="eastAsia" w:ascii="宋体" w:hAnsi="宋体" w:cs="宋体"/>
                <w:b w:val="0"/>
                <w:bCs w:val="0"/>
                <w:kern w:val="2"/>
                <w:sz w:val="21"/>
                <w:szCs w:val="21"/>
                <w:lang w:val="en-US" w:eastAsia="zh-CN" w:bidi="ar-SA"/>
              </w:rPr>
              <w:t>直接讲解知识点，</w:t>
            </w:r>
            <w:r>
              <w:rPr>
                <w:rFonts w:hint="eastAsia" w:ascii="宋体" w:hAnsi="宋体" w:eastAsia="宋体" w:cs="宋体"/>
                <w:b w:val="0"/>
                <w:bCs w:val="0"/>
                <w:kern w:val="2"/>
                <w:sz w:val="21"/>
                <w:szCs w:val="21"/>
                <w:lang w:val="en-US" w:eastAsia="zh-CN" w:bidi="ar-SA"/>
              </w:rPr>
              <w:t>帮助学生</w:t>
            </w:r>
            <w:r>
              <w:rPr>
                <w:rFonts w:hint="eastAsia" w:ascii="宋体" w:hAnsi="宋体" w:cs="宋体"/>
                <w:b w:val="0"/>
                <w:bCs w:val="0"/>
                <w:kern w:val="2"/>
                <w:sz w:val="21"/>
                <w:szCs w:val="21"/>
                <w:lang w:val="en-US" w:eastAsia="zh-CN" w:bidi="ar-SA"/>
              </w:rPr>
              <w:t>掌握人文素养的相内容</w:t>
            </w:r>
            <w:r>
              <w:rPr>
                <w:rFonts w:hint="eastAsia" w:cs="宋体"/>
                <w:b w:val="0"/>
                <w:bCs w:val="0"/>
                <w:kern w:val="2"/>
                <w:sz w:val="21"/>
                <w:szCs w:val="21"/>
                <w:lang w:val="en-US" w:eastAsia="zh-CN" w:bidi="ar-SA"/>
              </w:rPr>
              <w:t>。</w:t>
            </w:r>
          </w:p>
          <w:p w14:paraId="7902A5A2">
            <w:p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p>
          <w:p w14:paraId="4E9490B6">
            <w:pPr>
              <w:spacing w:line="360" w:lineRule="auto"/>
              <w:jc w:val="center"/>
              <w:rPr>
                <w:rFonts w:hint="eastAsia" w:ascii="宋体" w:hAnsi="宋体" w:eastAsia="宋体" w:cs="宋体"/>
                <w:sz w:val="21"/>
                <w:szCs w:val="21"/>
                <w:lang w:val="en-US" w:eastAsia="zh-CN"/>
              </w:rPr>
            </w:pPr>
          </w:p>
        </w:tc>
      </w:tr>
      <w:tr w14:paraId="7BC3A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8" w:type="dxa"/>
            <w:noWrap w:val="0"/>
            <w:vAlign w:val="center"/>
          </w:tcPr>
          <w:p w14:paraId="255FF2C9">
            <w:pPr>
              <w:jc w:val="both"/>
              <w:rPr>
                <w:rFonts w:hint="eastAsia" w:ascii="宋体" w:hAnsi="宋体" w:eastAsia="宋体" w:cs="宋体"/>
                <w:b/>
                <w:bCs/>
                <w:sz w:val="21"/>
                <w:szCs w:val="21"/>
                <w:lang w:val="en-US" w:eastAsia="zh-CN"/>
              </w:rPr>
            </w:pPr>
          </w:p>
          <w:p w14:paraId="4B9AA7ED">
            <w:pPr>
              <w:jc w:val="center"/>
              <w:rPr>
                <w:rFonts w:hint="eastAsia" w:ascii="宋体" w:hAnsi="宋体" w:eastAsia="宋体" w:cs="宋体"/>
                <w:b/>
                <w:bCs/>
                <w:sz w:val="21"/>
                <w:szCs w:val="21"/>
                <w:lang w:val="en-US" w:eastAsia="zh-CN"/>
              </w:rPr>
            </w:pPr>
          </w:p>
          <w:p w14:paraId="63085BBC">
            <w:pPr>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摘要或小结</w:t>
            </w:r>
          </w:p>
          <w:p w14:paraId="5CEB7C47">
            <w:pPr>
              <w:jc w:val="center"/>
              <w:rPr>
                <w:rFonts w:hint="eastAsia" w:ascii="宋体" w:hAnsi="宋体" w:eastAsia="宋体" w:cs="宋体"/>
                <w:b/>
                <w:bCs/>
                <w:kern w:val="2"/>
                <w:sz w:val="21"/>
                <w:szCs w:val="21"/>
                <w:lang w:val="en-US" w:eastAsia="zh-CN" w:bidi="ar-SA"/>
              </w:rPr>
            </w:pPr>
            <w:r>
              <w:rPr>
                <w:rFonts w:hint="eastAsia" w:ascii="宋体" w:hAnsi="宋体" w:eastAsia="宋体" w:cs="宋体"/>
                <w:b/>
                <w:bCs/>
                <w:sz w:val="21"/>
                <w:szCs w:val="21"/>
                <w:lang w:val="en-US" w:eastAsia="zh-CN"/>
              </w:rPr>
              <w:t xml:space="preserve">（ </w:t>
            </w:r>
            <w:r>
              <w:rPr>
                <w:rFonts w:hint="eastAsia" w:ascii="宋体" w:hAnsi="宋体" w:cs="宋体"/>
                <w:b/>
                <w:bCs/>
                <w:sz w:val="21"/>
                <w:szCs w:val="21"/>
                <w:lang w:val="en-US" w:eastAsia="zh-CN"/>
              </w:rPr>
              <w:t>3</w:t>
            </w:r>
            <w:r>
              <w:rPr>
                <w:rFonts w:hint="eastAsia" w:ascii="宋体" w:hAnsi="宋体" w:eastAsia="宋体" w:cs="宋体"/>
                <w:b/>
                <w:bCs/>
                <w:sz w:val="21"/>
                <w:szCs w:val="21"/>
                <w:lang w:val="en-US" w:eastAsia="zh-CN"/>
              </w:rPr>
              <w:t xml:space="preserve"> 分钟）</w:t>
            </w:r>
          </w:p>
        </w:tc>
        <w:tc>
          <w:tcPr>
            <w:tcW w:w="6764" w:type="dxa"/>
            <w:gridSpan w:val="5"/>
            <w:tcBorders>
              <w:right w:val="single" w:color="000000" w:sz="4" w:space="0"/>
            </w:tcBorders>
            <w:noWrap w:val="0"/>
            <w:vAlign w:val="center"/>
          </w:tcPr>
          <w:p w14:paraId="6210E244">
            <w:pPr>
              <w:jc w:val="both"/>
              <w:rPr>
                <w:rFonts w:hint="eastAsia" w:ascii="宋体" w:hAnsi="宋体" w:eastAsia="宋体" w:cs="宋体"/>
                <w:sz w:val="21"/>
                <w:szCs w:val="21"/>
                <w:lang w:val="en-US" w:eastAsia="zh-CN"/>
              </w:rPr>
            </w:pPr>
          </w:p>
          <w:p w14:paraId="578C2027">
            <w:pPr>
              <w:jc w:val="both"/>
              <w:rPr>
                <w:rFonts w:hint="eastAsia" w:ascii="宋体" w:hAnsi="宋体" w:eastAsia="宋体" w:cs="宋体"/>
                <w:sz w:val="21"/>
                <w:szCs w:val="21"/>
                <w:lang w:val="en-US" w:eastAsia="zh-CN"/>
              </w:rPr>
            </w:pPr>
            <w:r>
              <w:rPr>
                <w:rFonts w:hint="eastAsia" w:ascii="Segoe UI" w:hAnsi="Segoe UI" w:eastAsia="Segoe UI" w:cs="Segoe UI"/>
                <w:i w:val="0"/>
                <w:iCs w:val="0"/>
                <w:caps w:val="0"/>
                <w:color w:val="000000"/>
                <w:spacing w:val="0"/>
                <w:sz w:val="21"/>
                <w:szCs w:val="21"/>
                <w:shd w:val="clear" w:fill="FFFFFF"/>
              </w:rPr>
              <w:t>本节课程以“奠基职业人文底色”为目标，聚焦人文素养基础能力塑造。通过生活化案例解析</w:t>
            </w:r>
            <w:r>
              <w:rPr>
                <w:rFonts w:hint="eastAsia" w:ascii="Segoe UI" w:hAnsi="Segoe UI" w:cs="Segoe UI"/>
                <w:i w:val="0"/>
                <w:iCs w:val="0"/>
                <w:caps w:val="0"/>
                <w:color w:val="000000"/>
                <w:spacing w:val="0"/>
                <w:sz w:val="21"/>
                <w:szCs w:val="21"/>
                <w:shd w:val="clear" w:fill="FFFFFF"/>
                <w:lang w:val="en-US" w:eastAsia="zh-CN"/>
              </w:rPr>
              <w:t>人文素养</w:t>
            </w:r>
            <w:r>
              <w:rPr>
                <w:rFonts w:hint="eastAsia" w:ascii="Segoe UI" w:hAnsi="Segoe UI" w:eastAsia="Segoe UI" w:cs="Segoe UI"/>
                <w:i w:val="0"/>
                <w:iCs w:val="0"/>
                <w:caps w:val="0"/>
                <w:color w:val="000000"/>
                <w:spacing w:val="0"/>
                <w:sz w:val="21"/>
                <w:szCs w:val="21"/>
                <w:shd w:val="clear" w:fill="FFFFFF"/>
              </w:rPr>
              <w:t>、职业</w:t>
            </w:r>
            <w:r>
              <w:rPr>
                <w:rFonts w:hint="eastAsia" w:ascii="Segoe UI" w:hAnsi="Segoe UI" w:cs="Segoe UI"/>
                <w:i w:val="0"/>
                <w:iCs w:val="0"/>
                <w:caps w:val="0"/>
                <w:color w:val="000000"/>
                <w:spacing w:val="0"/>
                <w:sz w:val="21"/>
                <w:szCs w:val="21"/>
                <w:shd w:val="clear" w:fill="FFFFFF"/>
                <w:lang w:val="en-US" w:eastAsia="zh-CN"/>
              </w:rPr>
              <w:t>操守</w:t>
            </w:r>
            <w:r>
              <w:rPr>
                <w:rFonts w:hint="eastAsia" w:ascii="Segoe UI" w:hAnsi="Segoe UI" w:eastAsia="Segoe UI" w:cs="Segoe UI"/>
                <w:i w:val="0"/>
                <w:iCs w:val="0"/>
                <w:caps w:val="0"/>
                <w:color w:val="000000"/>
                <w:spacing w:val="0"/>
                <w:sz w:val="21"/>
                <w:szCs w:val="21"/>
                <w:shd w:val="clear" w:fill="FFFFFF"/>
              </w:rPr>
              <w:t>等核心概念，引导学生建立价值判断基准；结合校园协作实践、情绪管理训练及多元文化体验，培养沟通共情、团队协作与自我调适的生存技能；同步嵌入职业启蒙</w:t>
            </w:r>
            <w:r>
              <w:rPr>
                <w:rFonts w:hint="eastAsia" w:ascii="Segoe UI" w:hAnsi="Segoe UI" w:cs="Segoe UI"/>
                <w:i w:val="0"/>
                <w:iCs w:val="0"/>
                <w:caps w:val="0"/>
                <w:color w:val="000000"/>
                <w:spacing w:val="0"/>
                <w:sz w:val="21"/>
                <w:szCs w:val="21"/>
                <w:shd w:val="clear" w:fill="FFFFFF"/>
                <w:lang w:eastAsia="zh-CN"/>
              </w:rPr>
              <w:t>，</w:t>
            </w:r>
            <w:r>
              <w:rPr>
                <w:rFonts w:hint="eastAsia" w:ascii="Segoe UI" w:hAnsi="Segoe UI" w:eastAsia="Segoe UI" w:cs="Segoe UI"/>
                <w:i w:val="0"/>
                <w:iCs w:val="0"/>
                <w:caps w:val="0"/>
                <w:color w:val="000000"/>
                <w:spacing w:val="0"/>
                <w:sz w:val="21"/>
                <w:szCs w:val="21"/>
                <w:shd w:val="clear" w:fill="FFFFFF"/>
              </w:rPr>
              <w:t>将抽象人文精神转化为可操作的行为准则，助力学生完成从校园人到职业人的素养储备，实现知识向品格的知行合一。</w:t>
            </w:r>
          </w:p>
        </w:tc>
        <w:tc>
          <w:tcPr>
            <w:tcW w:w="1350" w:type="dxa"/>
            <w:tcBorders>
              <w:left w:val="single" w:color="000000" w:sz="4" w:space="0"/>
            </w:tcBorders>
            <w:noWrap w:val="0"/>
            <w:vAlign w:val="center"/>
          </w:tcPr>
          <w:p w14:paraId="64E315E1">
            <w:pPr>
              <w:jc w:val="both"/>
              <w:rPr>
                <w:rFonts w:hint="eastAsia" w:ascii="宋体" w:hAnsi="宋体" w:eastAsia="宋体" w:cs="宋体"/>
                <w:sz w:val="21"/>
                <w:szCs w:val="21"/>
                <w:lang w:val="en-US" w:eastAsia="zh-CN"/>
              </w:rPr>
            </w:pPr>
          </w:p>
        </w:tc>
      </w:tr>
      <w:tr w14:paraId="0084D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1418" w:type="dxa"/>
            <w:noWrap w:val="0"/>
            <w:vAlign w:val="center"/>
          </w:tcPr>
          <w:p w14:paraId="7117E6D7">
            <w:pPr>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板书设计</w:t>
            </w:r>
          </w:p>
        </w:tc>
        <w:tc>
          <w:tcPr>
            <w:tcW w:w="8114" w:type="dxa"/>
            <w:gridSpan w:val="6"/>
            <w:noWrap w:val="0"/>
            <w:vAlign w:val="center"/>
          </w:tcPr>
          <w:p w14:paraId="799BDFCA">
            <w:pPr>
              <w:numPr>
                <w:ilvl w:val="0"/>
                <w:numId w:val="0"/>
              </w:numPr>
              <w:spacing w:line="360" w:lineRule="auto"/>
              <w:jc w:val="both"/>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人文素养</w:t>
            </w:r>
          </w:p>
          <w:p w14:paraId="116DB120">
            <w:pPr>
              <w:widowControl w:val="0"/>
              <w:numPr>
                <w:ilvl w:val="0"/>
                <w:numId w:val="0"/>
              </w:numPr>
              <w:spacing w:line="360" w:lineRule="auto"/>
              <w:jc w:val="both"/>
              <w:rPr>
                <w:rFonts w:hint="default" w:ascii="宋体" w:hAnsi="宋体" w:cs="宋体"/>
                <w:b w:val="0"/>
                <w:bCs w:val="0"/>
                <w:sz w:val="21"/>
                <w:szCs w:val="21"/>
                <w:lang w:val="en-US" w:eastAsia="zh-CN"/>
              </w:rPr>
            </w:pPr>
            <w:r>
              <w:rPr>
                <w:rFonts w:hint="eastAsia" w:ascii="宋体" w:hAnsi="宋体" w:eastAsia="宋体" w:cs="宋体"/>
                <w:b w:val="0"/>
                <w:bCs w:val="0"/>
                <w:sz w:val="21"/>
                <w:szCs w:val="21"/>
                <w:lang w:val="en-US" w:eastAsia="zh-CN"/>
              </w:rPr>
              <w:t>职业操守</w:t>
            </w:r>
          </w:p>
          <w:p w14:paraId="3618AE2D">
            <w:pPr>
              <w:widowControl w:val="0"/>
              <w:numPr>
                <w:ilvl w:val="0"/>
                <w:numId w:val="0"/>
              </w:numPr>
              <w:spacing w:line="360" w:lineRule="auto"/>
              <w:jc w:val="both"/>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人文素养与职业操守的培养</w:t>
            </w:r>
          </w:p>
          <w:p w14:paraId="59DE3423">
            <w:pPr>
              <w:jc w:val="both"/>
              <w:rPr>
                <w:rFonts w:hint="default" w:ascii="宋体" w:hAnsi="宋体" w:cs="宋体"/>
                <w:sz w:val="21"/>
                <w:szCs w:val="21"/>
                <w:lang w:val="en-US" w:eastAsia="zh-CN"/>
              </w:rPr>
            </w:pPr>
          </w:p>
        </w:tc>
      </w:tr>
      <w:tr w14:paraId="173BA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18" w:type="dxa"/>
            <w:noWrap w:val="0"/>
            <w:vAlign w:val="center"/>
          </w:tcPr>
          <w:p w14:paraId="1D31450D">
            <w:pPr>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课后作业</w:t>
            </w:r>
          </w:p>
        </w:tc>
        <w:tc>
          <w:tcPr>
            <w:tcW w:w="8114" w:type="dxa"/>
            <w:gridSpan w:val="6"/>
            <w:noWrap w:val="0"/>
            <w:vAlign w:val="center"/>
          </w:tcPr>
          <w:p w14:paraId="44C0B10B">
            <w:pPr>
              <w:jc w:val="both"/>
              <w:rPr>
                <w:rFonts w:hint="default" w:ascii="宋体" w:hAnsi="宋体" w:eastAsia="宋体" w:cs="宋体"/>
                <w:sz w:val="21"/>
                <w:szCs w:val="21"/>
                <w:lang w:val="en-US" w:eastAsia="zh-CN"/>
              </w:rPr>
            </w:pPr>
          </w:p>
        </w:tc>
      </w:tr>
      <w:tr w14:paraId="2BDFA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18" w:type="dxa"/>
            <w:noWrap w:val="0"/>
            <w:vAlign w:val="center"/>
          </w:tcPr>
          <w:p w14:paraId="59D481F6">
            <w:pPr>
              <w:jc w:val="center"/>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教学反思</w:t>
            </w:r>
            <w:r>
              <w:rPr>
                <w:rFonts w:hint="eastAsia" w:ascii="宋体" w:hAnsi="宋体" w:cs="宋体"/>
                <w:b/>
                <w:bCs/>
                <w:sz w:val="21"/>
                <w:szCs w:val="21"/>
                <w:lang w:val="en-US" w:eastAsia="zh-CN"/>
              </w:rPr>
              <w:t>与诊断改进</w:t>
            </w:r>
          </w:p>
        </w:tc>
        <w:tc>
          <w:tcPr>
            <w:tcW w:w="8114" w:type="dxa"/>
            <w:gridSpan w:val="6"/>
            <w:noWrap w:val="0"/>
            <w:vAlign w:val="center"/>
          </w:tcPr>
          <w:p w14:paraId="338760D6">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本节课学生参与度高，讨论积极，对</w:t>
            </w:r>
            <w:r>
              <w:rPr>
                <w:rFonts w:hint="eastAsia" w:ascii="宋体" w:hAnsi="宋体" w:cs="宋体"/>
                <w:sz w:val="21"/>
                <w:szCs w:val="21"/>
                <w:lang w:val="en-US" w:eastAsia="zh-CN"/>
              </w:rPr>
              <w:t>人文素养</w:t>
            </w:r>
            <w:r>
              <w:rPr>
                <w:rFonts w:hint="eastAsia" w:ascii="宋体" w:hAnsi="宋体" w:eastAsia="宋体" w:cs="宋体"/>
                <w:sz w:val="21"/>
                <w:szCs w:val="21"/>
                <w:lang w:val="en-US" w:eastAsia="zh-CN"/>
              </w:rPr>
              <w:t>有了初步的认识。</w:t>
            </w:r>
            <w:r>
              <w:rPr>
                <w:rFonts w:hint="eastAsia" w:ascii="宋体" w:hAnsi="宋体" w:cs="宋体"/>
                <w:sz w:val="21"/>
                <w:szCs w:val="21"/>
                <w:lang w:val="en-US" w:eastAsia="zh-CN"/>
              </w:rPr>
              <w:t>但是</w:t>
            </w:r>
            <w:r>
              <w:rPr>
                <w:rFonts w:hint="eastAsia" w:ascii="宋体" w:hAnsi="宋体" w:eastAsia="宋体" w:cs="宋体"/>
                <w:sz w:val="21"/>
                <w:szCs w:val="21"/>
                <w:lang w:val="en-US" w:eastAsia="zh-CN"/>
              </w:rPr>
              <w:t>在衔接新生认知基础与职业素养要求上存在断层</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需强化伦理思辨训练</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通过角色扮演固化职业行为肌肉记忆，弥合知行鸿沟。未来的教学中可以增加更多互动环节和实际案例，帮助学生更深入地理解职业价值观。</w:t>
            </w:r>
          </w:p>
        </w:tc>
      </w:tr>
      <w:tr w14:paraId="1824F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1418" w:type="dxa"/>
            <w:noWrap w:val="0"/>
            <w:vAlign w:val="center"/>
          </w:tcPr>
          <w:p w14:paraId="722B8421">
            <w:pPr>
              <w:jc w:val="both"/>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教研室意见</w:t>
            </w:r>
          </w:p>
        </w:tc>
        <w:tc>
          <w:tcPr>
            <w:tcW w:w="8114" w:type="dxa"/>
            <w:gridSpan w:val="6"/>
            <w:noWrap w:val="0"/>
            <w:vAlign w:val="center"/>
          </w:tcPr>
          <w:p w14:paraId="40D3481C">
            <w:pPr>
              <w:jc w:val="both"/>
              <w:rPr>
                <w:rFonts w:hint="eastAsia" w:ascii="宋体" w:hAnsi="宋体" w:eastAsia="宋体" w:cs="宋体"/>
                <w:b/>
                <w:bCs/>
                <w:color w:val="0000FF"/>
                <w:sz w:val="21"/>
                <w:szCs w:val="21"/>
                <w:lang w:val="en-US" w:eastAsia="zh-CN"/>
              </w:rPr>
            </w:pPr>
            <w:r>
              <w:rPr>
                <w:rFonts w:hint="eastAsia" w:ascii="宋体" w:hAnsi="宋体" w:eastAsia="宋体" w:cs="宋体"/>
                <w:b/>
                <w:bCs/>
                <w:color w:val="0000FF"/>
                <w:sz w:val="21"/>
                <w:szCs w:val="21"/>
                <w:lang w:val="en-US" w:eastAsia="zh-CN"/>
              </w:rPr>
              <w:t>（</w:t>
            </w:r>
            <w:r>
              <w:rPr>
                <w:rFonts w:hint="eastAsia" w:ascii="宋体" w:hAnsi="宋体" w:eastAsia="宋体" w:cs="宋体"/>
                <w:b/>
                <w:bCs/>
                <w:color w:val="0000FF"/>
                <w:sz w:val="21"/>
                <w:szCs w:val="21"/>
              </w:rPr>
              <w:t>本</w:t>
            </w:r>
            <w:r>
              <w:rPr>
                <w:rFonts w:hint="eastAsia" w:ascii="宋体" w:hAnsi="宋体" w:eastAsia="宋体" w:cs="宋体"/>
                <w:b/>
                <w:bCs/>
                <w:color w:val="0000FF"/>
                <w:sz w:val="21"/>
                <w:szCs w:val="21"/>
                <w:lang w:val="en-US" w:eastAsia="zh-CN"/>
              </w:rPr>
              <w:t>教案</w:t>
            </w:r>
            <w:r>
              <w:rPr>
                <w:rFonts w:hint="eastAsia" w:ascii="宋体" w:hAnsi="宋体" w:eastAsia="宋体" w:cs="宋体"/>
                <w:b/>
                <w:bCs/>
                <w:color w:val="0000FF"/>
                <w:sz w:val="21"/>
                <w:szCs w:val="21"/>
              </w:rPr>
              <w:t>设计的优点、不足及建议</w:t>
            </w:r>
            <w:r>
              <w:rPr>
                <w:rFonts w:hint="eastAsia" w:ascii="宋体" w:hAnsi="宋体" w:eastAsia="宋体" w:cs="宋体"/>
                <w:b/>
                <w:bCs/>
                <w:color w:val="0000FF"/>
                <w:sz w:val="21"/>
                <w:szCs w:val="21"/>
                <w:lang w:val="en-US" w:eastAsia="zh-CN"/>
              </w:rPr>
              <w:t>）</w:t>
            </w:r>
          </w:p>
          <w:p w14:paraId="44CC78E9">
            <w:pPr>
              <w:jc w:val="both"/>
              <w:rPr>
                <w:rFonts w:hint="eastAsia" w:ascii="宋体" w:hAnsi="宋体" w:eastAsia="宋体" w:cs="宋体"/>
                <w:sz w:val="21"/>
                <w:szCs w:val="21"/>
                <w:lang w:val="en-US" w:eastAsia="zh-CN"/>
              </w:rPr>
            </w:pPr>
          </w:p>
          <w:p w14:paraId="1FB40552">
            <w:pPr>
              <w:jc w:val="both"/>
              <w:rPr>
                <w:rFonts w:hint="eastAsia" w:ascii="宋体" w:hAnsi="宋体" w:eastAsia="宋体" w:cs="宋体"/>
                <w:sz w:val="21"/>
                <w:szCs w:val="21"/>
                <w:lang w:val="en-US" w:eastAsia="zh-CN"/>
              </w:rPr>
            </w:pPr>
          </w:p>
          <w:p w14:paraId="2A7107B7">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教研室</w:t>
            </w:r>
            <w:r>
              <w:rPr>
                <w:rFonts w:hint="eastAsia" w:ascii="宋体" w:hAnsi="宋体" w:cs="宋体"/>
                <w:sz w:val="21"/>
                <w:szCs w:val="21"/>
                <w:lang w:val="en-US" w:eastAsia="zh-CN"/>
              </w:rPr>
              <w:t>负责人</w:t>
            </w:r>
            <w:r>
              <w:rPr>
                <w:rFonts w:hint="eastAsia" w:ascii="宋体" w:hAnsi="宋体" w:eastAsia="宋体" w:cs="宋体"/>
                <w:sz w:val="21"/>
                <w:szCs w:val="21"/>
                <w:lang w:val="en-US" w:eastAsia="zh-CN"/>
              </w:rPr>
              <w:t>签字：</w:t>
            </w:r>
          </w:p>
          <w:p w14:paraId="57C0ADCC">
            <w:pPr>
              <w:jc w:val="righ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年 </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 xml:space="preserve">   月    </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日</w:t>
            </w:r>
          </w:p>
        </w:tc>
      </w:tr>
    </w:tbl>
    <w:p w14:paraId="56C3ED2B">
      <w:pPr>
        <w:rPr>
          <w:rFonts w:hint="default" w:ascii="宋体" w:hAnsi="宋体" w:cs="宋体"/>
          <w:lang w:val="en-US" w:eastAsia="zh-CN"/>
        </w:rPr>
      </w:pPr>
    </w:p>
    <w:sectPr>
      <w:footerReference r:id="rId3" w:type="default"/>
      <w:pgSz w:w="11906" w:h="16838"/>
      <w:pgMar w:top="1417" w:right="1417" w:bottom="1417" w:left="1417" w:header="851" w:footer="992" w:gutter="0"/>
      <w:pgBorders>
        <w:top w:val="none" w:sz="0" w:space="0"/>
        <w:left w:val="none" w:sz="0" w:space="0"/>
        <w:bottom w:val="none" w:sz="0" w:space="0"/>
        <w:right w:val="none" w:sz="0" w:space="0"/>
      </w:pgBorders>
      <w:pgNumType w:fmt="decimal" w:start="1"/>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1" w:fontKey="{79C61225-2C27-47D4-88F7-4944DEA9DDB9}"/>
  </w:font>
  <w:font w:name="微软雅黑">
    <w:panose1 w:val="020B0503020204020204"/>
    <w:charset w:val="86"/>
    <w:family w:val="auto"/>
    <w:pitch w:val="default"/>
    <w:sig w:usb0="80000287" w:usb1="2ACF3C50" w:usb2="00000016" w:usb3="00000000" w:csb0="0004001F" w:csb1="00000000"/>
    <w:embedRegular r:id="rId2" w:fontKey="{8EDEA895-3E9D-4D15-B69D-EEC9DF6AD93C}"/>
  </w:font>
  <w:font w:name="方正小标宋_GBK">
    <w:panose1 w:val="02000000000000000000"/>
    <w:charset w:val="86"/>
    <w:family w:val="auto"/>
    <w:pitch w:val="default"/>
    <w:sig w:usb0="A00002BF" w:usb1="38CF7CFA" w:usb2="00082016" w:usb3="00000000" w:csb0="00040001" w:csb1="00000000"/>
    <w:embedRegular r:id="rId3" w:fontKey="{D6966D6E-9077-4177-9E90-05C3F77E3859}"/>
  </w:font>
  <w:font w:name="Segoe UI">
    <w:panose1 w:val="020B0502040204020203"/>
    <w:charset w:val="00"/>
    <w:family w:val="auto"/>
    <w:pitch w:val="default"/>
    <w:sig w:usb0="E4002EFF" w:usb1="C000E47F" w:usb2="00000009" w:usb3="00000000" w:csb0="200001FF" w:csb1="00000000"/>
    <w:embedRegular r:id="rId4" w:fontKey="{0371401B-FD71-41AF-90EE-0448B14D4DC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DE092">
    <w:pPr>
      <w:pStyle w:val="5"/>
    </w:pPr>
    <w:r>
      <w:rPr>
        <w:sz w:val="18"/>
      </w:rP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7CEA741B">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WNiOGE2ZDEwM2Q2NTNiNTc1M2FlYmE2YzE3OTAwNWMifQ=="/>
  </w:docVars>
  <w:rsids>
    <w:rsidRoot w:val="00000000"/>
    <w:rsid w:val="00B652A6"/>
    <w:rsid w:val="018C519F"/>
    <w:rsid w:val="01EE7C08"/>
    <w:rsid w:val="02114133"/>
    <w:rsid w:val="04461F7D"/>
    <w:rsid w:val="04E35A1E"/>
    <w:rsid w:val="0532605E"/>
    <w:rsid w:val="05ED01D7"/>
    <w:rsid w:val="074A1AF4"/>
    <w:rsid w:val="07D17DB0"/>
    <w:rsid w:val="09315698"/>
    <w:rsid w:val="0A481E7F"/>
    <w:rsid w:val="0B291CB1"/>
    <w:rsid w:val="0BB73761"/>
    <w:rsid w:val="0D58687D"/>
    <w:rsid w:val="0E0F6635"/>
    <w:rsid w:val="0F502573"/>
    <w:rsid w:val="0F53554E"/>
    <w:rsid w:val="0FBF2BE4"/>
    <w:rsid w:val="1092654A"/>
    <w:rsid w:val="11292A0B"/>
    <w:rsid w:val="114B0248"/>
    <w:rsid w:val="11651569"/>
    <w:rsid w:val="11B81FE1"/>
    <w:rsid w:val="120553A7"/>
    <w:rsid w:val="122F4065"/>
    <w:rsid w:val="123D6042"/>
    <w:rsid w:val="12FC5EFD"/>
    <w:rsid w:val="13197966"/>
    <w:rsid w:val="135D2E40"/>
    <w:rsid w:val="13E1581F"/>
    <w:rsid w:val="141F00F5"/>
    <w:rsid w:val="143A7680"/>
    <w:rsid w:val="14567EDC"/>
    <w:rsid w:val="14E76E65"/>
    <w:rsid w:val="15160E9C"/>
    <w:rsid w:val="159A517C"/>
    <w:rsid w:val="162E2871"/>
    <w:rsid w:val="172422A9"/>
    <w:rsid w:val="17B768DF"/>
    <w:rsid w:val="189310B2"/>
    <w:rsid w:val="196977CD"/>
    <w:rsid w:val="19AD1CFF"/>
    <w:rsid w:val="1A4C32C6"/>
    <w:rsid w:val="1B6A60FA"/>
    <w:rsid w:val="1B845091"/>
    <w:rsid w:val="1C211A17"/>
    <w:rsid w:val="1C644713"/>
    <w:rsid w:val="1C8B27CB"/>
    <w:rsid w:val="1CAA0778"/>
    <w:rsid w:val="1D0F0EAC"/>
    <w:rsid w:val="1E334EC9"/>
    <w:rsid w:val="1EBA7398"/>
    <w:rsid w:val="1F8F25D3"/>
    <w:rsid w:val="1FC77172"/>
    <w:rsid w:val="208E4638"/>
    <w:rsid w:val="20EB1A8B"/>
    <w:rsid w:val="21AB121A"/>
    <w:rsid w:val="21E93AF0"/>
    <w:rsid w:val="221548E5"/>
    <w:rsid w:val="22286F53"/>
    <w:rsid w:val="243E4035"/>
    <w:rsid w:val="24737C5E"/>
    <w:rsid w:val="24D46CDA"/>
    <w:rsid w:val="25BE590A"/>
    <w:rsid w:val="25F5515A"/>
    <w:rsid w:val="284027D2"/>
    <w:rsid w:val="28E33487"/>
    <w:rsid w:val="28F6721F"/>
    <w:rsid w:val="294C6E3F"/>
    <w:rsid w:val="29A41545"/>
    <w:rsid w:val="2BB5659B"/>
    <w:rsid w:val="2C0C4FAB"/>
    <w:rsid w:val="2C242561"/>
    <w:rsid w:val="2C493B09"/>
    <w:rsid w:val="2CF41CC7"/>
    <w:rsid w:val="2DA52FC1"/>
    <w:rsid w:val="2E8A1747"/>
    <w:rsid w:val="2EC418AA"/>
    <w:rsid w:val="2EDF69A7"/>
    <w:rsid w:val="2FC07BC7"/>
    <w:rsid w:val="302F627A"/>
    <w:rsid w:val="30BB0812"/>
    <w:rsid w:val="30DF4A3C"/>
    <w:rsid w:val="310D15A9"/>
    <w:rsid w:val="312608BD"/>
    <w:rsid w:val="315A4C36"/>
    <w:rsid w:val="3200026C"/>
    <w:rsid w:val="32382656"/>
    <w:rsid w:val="323E642A"/>
    <w:rsid w:val="33016EEC"/>
    <w:rsid w:val="339F7DC0"/>
    <w:rsid w:val="34AE4E51"/>
    <w:rsid w:val="364315C9"/>
    <w:rsid w:val="36B24282"/>
    <w:rsid w:val="371A67CE"/>
    <w:rsid w:val="372116B7"/>
    <w:rsid w:val="3825542A"/>
    <w:rsid w:val="38CD161E"/>
    <w:rsid w:val="39921F91"/>
    <w:rsid w:val="3A245A27"/>
    <w:rsid w:val="3A5C534F"/>
    <w:rsid w:val="3BCB62E9"/>
    <w:rsid w:val="3C9962E1"/>
    <w:rsid w:val="3D65276D"/>
    <w:rsid w:val="3DF31B27"/>
    <w:rsid w:val="3E506F79"/>
    <w:rsid w:val="3F1D32FF"/>
    <w:rsid w:val="405E3BCF"/>
    <w:rsid w:val="40993AFE"/>
    <w:rsid w:val="40B732E0"/>
    <w:rsid w:val="41CA2B9F"/>
    <w:rsid w:val="4235270E"/>
    <w:rsid w:val="42980EEF"/>
    <w:rsid w:val="430D0A8B"/>
    <w:rsid w:val="43340C18"/>
    <w:rsid w:val="43DD305D"/>
    <w:rsid w:val="448E4E44"/>
    <w:rsid w:val="44D53D34"/>
    <w:rsid w:val="45B26689"/>
    <w:rsid w:val="46592743"/>
    <w:rsid w:val="470E352E"/>
    <w:rsid w:val="47596E9F"/>
    <w:rsid w:val="47C87B80"/>
    <w:rsid w:val="47E64D20"/>
    <w:rsid w:val="487877F8"/>
    <w:rsid w:val="48E274DA"/>
    <w:rsid w:val="491E7B84"/>
    <w:rsid w:val="49464A45"/>
    <w:rsid w:val="4A1B668D"/>
    <w:rsid w:val="4B840262"/>
    <w:rsid w:val="4B8F7333"/>
    <w:rsid w:val="4BA6467C"/>
    <w:rsid w:val="4BB367EF"/>
    <w:rsid w:val="4BDB428D"/>
    <w:rsid w:val="4D493511"/>
    <w:rsid w:val="4D776A3F"/>
    <w:rsid w:val="4D9F6990"/>
    <w:rsid w:val="4E200716"/>
    <w:rsid w:val="4E231EC4"/>
    <w:rsid w:val="4EDF3DE5"/>
    <w:rsid w:val="4F2E6E63"/>
    <w:rsid w:val="502E69EF"/>
    <w:rsid w:val="50B52C6C"/>
    <w:rsid w:val="50C335DB"/>
    <w:rsid w:val="512C2F2E"/>
    <w:rsid w:val="51454E60"/>
    <w:rsid w:val="515F3171"/>
    <w:rsid w:val="51750D79"/>
    <w:rsid w:val="52B16CCB"/>
    <w:rsid w:val="53363C07"/>
    <w:rsid w:val="534909C1"/>
    <w:rsid w:val="538E6122"/>
    <w:rsid w:val="53BE40A3"/>
    <w:rsid w:val="5415239F"/>
    <w:rsid w:val="54224ABC"/>
    <w:rsid w:val="54F15D3A"/>
    <w:rsid w:val="56A1616C"/>
    <w:rsid w:val="57A777B2"/>
    <w:rsid w:val="586C6306"/>
    <w:rsid w:val="587F072F"/>
    <w:rsid w:val="59E20ECC"/>
    <w:rsid w:val="5AAA7749"/>
    <w:rsid w:val="5AF66CE3"/>
    <w:rsid w:val="5C0A68F1"/>
    <w:rsid w:val="5C3B2C92"/>
    <w:rsid w:val="5D2E44D2"/>
    <w:rsid w:val="5DC55312"/>
    <w:rsid w:val="5E051179"/>
    <w:rsid w:val="5F906BA5"/>
    <w:rsid w:val="603F7666"/>
    <w:rsid w:val="60934D78"/>
    <w:rsid w:val="60AC5E39"/>
    <w:rsid w:val="60FF240D"/>
    <w:rsid w:val="610B7004"/>
    <w:rsid w:val="619C5EAE"/>
    <w:rsid w:val="623E4A71"/>
    <w:rsid w:val="62FA10DE"/>
    <w:rsid w:val="63424833"/>
    <w:rsid w:val="6380211F"/>
    <w:rsid w:val="63EF49BB"/>
    <w:rsid w:val="6400652A"/>
    <w:rsid w:val="645962D8"/>
    <w:rsid w:val="64CC2606"/>
    <w:rsid w:val="64EE6A20"/>
    <w:rsid w:val="654F7FE5"/>
    <w:rsid w:val="65B512EC"/>
    <w:rsid w:val="65CE0600"/>
    <w:rsid w:val="66154481"/>
    <w:rsid w:val="6623094C"/>
    <w:rsid w:val="66854BCD"/>
    <w:rsid w:val="669B2EE8"/>
    <w:rsid w:val="66F45E44"/>
    <w:rsid w:val="68364CD7"/>
    <w:rsid w:val="68490412"/>
    <w:rsid w:val="68531405"/>
    <w:rsid w:val="68802085"/>
    <w:rsid w:val="68880F3A"/>
    <w:rsid w:val="69A308D2"/>
    <w:rsid w:val="69F50851"/>
    <w:rsid w:val="6AD40467"/>
    <w:rsid w:val="6B411220"/>
    <w:rsid w:val="6C1A3761"/>
    <w:rsid w:val="6C77554D"/>
    <w:rsid w:val="6CEE7145"/>
    <w:rsid w:val="6E160D96"/>
    <w:rsid w:val="6E4678CD"/>
    <w:rsid w:val="6E7755F0"/>
    <w:rsid w:val="6EF26383"/>
    <w:rsid w:val="6F984159"/>
    <w:rsid w:val="70117A67"/>
    <w:rsid w:val="70294DB1"/>
    <w:rsid w:val="702F4391"/>
    <w:rsid w:val="704A2F79"/>
    <w:rsid w:val="706E3EC3"/>
    <w:rsid w:val="70B36D70"/>
    <w:rsid w:val="71494336"/>
    <w:rsid w:val="72616CE0"/>
    <w:rsid w:val="72B34E05"/>
    <w:rsid w:val="732B7092"/>
    <w:rsid w:val="736B1B84"/>
    <w:rsid w:val="736E6F7E"/>
    <w:rsid w:val="737C43EE"/>
    <w:rsid w:val="73A86934"/>
    <w:rsid w:val="7474677B"/>
    <w:rsid w:val="74EE0377"/>
    <w:rsid w:val="74FC0CE6"/>
    <w:rsid w:val="75A4312B"/>
    <w:rsid w:val="75AC3C3A"/>
    <w:rsid w:val="75BA2E02"/>
    <w:rsid w:val="75C736ED"/>
    <w:rsid w:val="76387EEB"/>
    <w:rsid w:val="76674885"/>
    <w:rsid w:val="766C59F7"/>
    <w:rsid w:val="76B25651"/>
    <w:rsid w:val="77A06270"/>
    <w:rsid w:val="77C90C27"/>
    <w:rsid w:val="788F1E71"/>
    <w:rsid w:val="78FD502C"/>
    <w:rsid w:val="792D65D6"/>
    <w:rsid w:val="7AC8166A"/>
    <w:rsid w:val="7BB8348D"/>
    <w:rsid w:val="7D230DDA"/>
    <w:rsid w:val="7D891584"/>
    <w:rsid w:val="7EF81DA3"/>
    <w:rsid w:val="7F390D88"/>
    <w:rsid w:val="7F71407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pPr>
      <w:spacing w:after="120" w:afterLines="0" w:afterAutospacing="0"/>
    </w:p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styleId="12">
    <w:name w:val="page number"/>
    <w:basedOn w:val="10"/>
    <w:uiPriority w:val="0"/>
  </w:style>
  <w:style w:type="character" w:styleId="13">
    <w:name w:val="Hyperlink"/>
    <w:basedOn w:val="10"/>
    <w:unhideWhenUsed/>
    <w:qFormat/>
    <w:uiPriority w:val="99"/>
    <w:rPr>
      <w:color w:val="0000FF"/>
      <w:u w:val="single"/>
    </w:rPr>
  </w:style>
  <w:style w:type="paragraph" w:customStyle="1" w:styleId="14">
    <w:name w:val="样式2"/>
    <w:basedOn w:val="1"/>
    <w:next w:val="4"/>
    <w:qFormat/>
    <w:uiPriority w:val="0"/>
    <w:pPr>
      <w:widowControl/>
      <w:spacing w:line="360" w:lineRule="auto"/>
      <w:jc w:val="center"/>
    </w:pPr>
    <w:rPr>
      <w:rFonts w:hint="eastAsia" w:ascii="方正小标宋简体" w:hAnsi="方正小标宋简体" w:eastAsia="方正小标宋简体"/>
      <w:sz w:val="44"/>
      <w:szCs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117</Words>
  <Characters>125</Characters>
  <Lines>0</Lines>
  <Paragraphs>0</Paragraphs>
  <TotalTime>57</TotalTime>
  <ScaleCrop>false</ScaleCrop>
  <LinksUpToDate>false</LinksUpToDate>
  <CharactersWithSpaces>125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2022-06-13T11:37:00Z</dcterms:created>
  <dc:creator>admin</dc:creator>
  <cp:lastModifiedBy>雍尚冕</cp:lastModifiedBy>
  <cp:lastPrinted>2025-02-20T03:59:00Z</cp:lastPrinted>
  <dcterms:modified xsi:type="dcterms:W3CDTF">2025-07-12T02:43:42Z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EA6F3C56F07743FDB629EAD44901E2BA_13</vt:lpwstr>
  </property>
  <property fmtid="{D5CDD505-2E9C-101B-9397-08002B2CF9AE}" pid="4" name="KSOTemplateDocerSaveRecord">
    <vt:lpwstr>eyJoZGlkIjoiYWMzYTJiNGE1YjY0ODQwYjc0MTQwM2Y0OTE5MDliMmMiLCJ1c2VySWQiOiI0MTAwNjExMTgifQ==</vt:lpwstr>
  </property>
</Properties>
</file>